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95CC4" w14:textId="1058A078" w:rsidR="00EA3892" w:rsidRPr="00EA3892" w:rsidRDefault="00A7619F" w:rsidP="00A7619F">
      <w:pPr>
        <w:pStyle w:val="Heading1"/>
        <w:jc w:val="center"/>
      </w:pPr>
      <w:r>
        <w:t xml:space="preserve">TOR: </w:t>
      </w:r>
      <w:r w:rsidR="00EA3892" w:rsidRPr="00EA3892">
        <w:t>Municipal Creditworthiness Technical Assistance for Secondary Cities in South Africa</w:t>
      </w:r>
    </w:p>
    <w:p w14:paraId="01C8C69D" w14:textId="77777777" w:rsidR="00EA3892" w:rsidRPr="00EA3892" w:rsidRDefault="00EA3892" w:rsidP="00EA3892">
      <w:pPr>
        <w:pStyle w:val="Heading2"/>
      </w:pPr>
      <w:r w:rsidRPr="00EA3892">
        <w:t>Background</w:t>
      </w:r>
    </w:p>
    <w:p w14:paraId="0E782EBC" w14:textId="77777777" w:rsidR="00EA3892" w:rsidRPr="00EA3892" w:rsidRDefault="00EA3892" w:rsidP="00EA3892">
      <w:pPr>
        <w:jc w:val="both"/>
        <w:rPr>
          <w:rFonts w:ascii="Calibri" w:hAnsi="Calibri" w:cs="Calibri"/>
          <w:sz w:val="22"/>
          <w:szCs w:val="22"/>
        </w:rPr>
      </w:pPr>
      <w:r w:rsidRPr="00EA3892">
        <w:rPr>
          <w:rFonts w:ascii="Calibri" w:hAnsi="Calibri" w:cs="Calibri"/>
          <w:sz w:val="22"/>
          <w:szCs w:val="22"/>
        </w:rPr>
        <w:t>The World Bank's City Creditworthiness Initiative is a global program designed to help cities and municipalities strengthen their financial standing and improve access to private and commercial financing. The Initiative works with sub-national governments to address demand-side constraints to creditworthiness, improve the quality and transparency of financial management systems, and position municipalities to engage with capital markets for infrastructure investment.</w:t>
      </w:r>
    </w:p>
    <w:p w14:paraId="33A59088" w14:textId="27B97D58" w:rsidR="00EA3892" w:rsidRPr="00EA3892" w:rsidRDefault="00EA3892" w:rsidP="00EA3892">
      <w:pPr>
        <w:jc w:val="both"/>
        <w:rPr>
          <w:rFonts w:ascii="Calibri" w:hAnsi="Calibri" w:cs="Calibri"/>
          <w:sz w:val="22"/>
          <w:szCs w:val="22"/>
        </w:rPr>
      </w:pPr>
      <w:r w:rsidRPr="00EA3892">
        <w:rPr>
          <w:rFonts w:ascii="Calibri" w:hAnsi="Calibri" w:cs="Calibri"/>
          <w:sz w:val="22"/>
          <w:szCs w:val="22"/>
        </w:rPr>
        <w:t>In South Africa, the Initiative, delivered in close partnership with the National Treasury (NT</w:t>
      </w:r>
      <w:r w:rsidR="00EC20FA" w:rsidRPr="00EA3892">
        <w:rPr>
          <w:rFonts w:ascii="Calibri" w:hAnsi="Calibri" w:cs="Calibri"/>
          <w:sz w:val="22"/>
          <w:szCs w:val="22"/>
        </w:rPr>
        <w:t>), recently</w:t>
      </w:r>
      <w:r w:rsidRPr="00EA3892">
        <w:rPr>
          <w:rFonts w:ascii="Calibri" w:hAnsi="Calibri" w:cs="Calibri"/>
          <w:sz w:val="22"/>
          <w:szCs w:val="22"/>
        </w:rPr>
        <w:t xml:space="preserve"> concluded a Municipal Creditworthiness Learning Program (the "Academy") that engaged 14 secondary cities across the country. The Academy provided structured, cohort-based learning to help participating municipalities understand the fundamentals of creditworthiness, municipal finance, and the requirements for accessing commercial and blended finance. It built a shared foundation of knowledge across the 14 secondary cities and generated important diagnostic insights into the constraints and opportunities facing them in accessing private capital.</w:t>
      </w:r>
    </w:p>
    <w:p w14:paraId="71A67EA8" w14:textId="77777777" w:rsidR="00EA3892" w:rsidRPr="00EA3892" w:rsidRDefault="00EA3892" w:rsidP="00EA3892">
      <w:pPr>
        <w:pStyle w:val="Heading3"/>
      </w:pPr>
      <w:r w:rsidRPr="00EA3892">
        <w:t>Follow-On Technical Assistance</w:t>
      </w:r>
    </w:p>
    <w:p w14:paraId="1B55D74A" w14:textId="3ADA44B3" w:rsidR="00EA3892" w:rsidRPr="00EA3892" w:rsidRDefault="00EA3892" w:rsidP="00EA3892">
      <w:pPr>
        <w:jc w:val="both"/>
        <w:rPr>
          <w:rFonts w:ascii="Calibri" w:hAnsi="Calibri" w:cs="Calibri"/>
          <w:sz w:val="22"/>
          <w:szCs w:val="22"/>
        </w:rPr>
      </w:pPr>
      <w:r w:rsidRPr="00EA3892">
        <w:rPr>
          <w:rFonts w:ascii="Calibri" w:hAnsi="Calibri" w:cs="Calibri"/>
          <w:sz w:val="22"/>
          <w:szCs w:val="22"/>
        </w:rPr>
        <w:t xml:space="preserve">Building on the Academy, the Initiative is now moving to a deeper, hands-on phase of engagement with 2 selected secondary cities. The overarching purpose of this phase is to enable each participating municipality to successfully raise commercial finance for priority infrastructure investment. </w:t>
      </w:r>
    </w:p>
    <w:p w14:paraId="4730E6DB" w14:textId="4FBAEC49" w:rsidR="00EA3892" w:rsidRPr="00EA3892" w:rsidRDefault="00EA3892" w:rsidP="00EA3892">
      <w:pPr>
        <w:jc w:val="both"/>
        <w:rPr>
          <w:rFonts w:ascii="Calibri" w:hAnsi="Calibri" w:cs="Calibri"/>
          <w:sz w:val="22"/>
          <w:szCs w:val="22"/>
        </w:rPr>
      </w:pPr>
      <w:r w:rsidRPr="00EA3892">
        <w:rPr>
          <w:rFonts w:ascii="Calibri" w:hAnsi="Calibri" w:cs="Calibri"/>
          <w:sz w:val="22"/>
          <w:szCs w:val="22"/>
        </w:rPr>
        <w:t xml:space="preserve">The firm will work directly with each municipality's technical and financial teams, operating in close coordination with the World Bank and National Treasury, who will provide oversight, technical guidance, and strategic direction throughout. The firm's role is to </w:t>
      </w:r>
      <w:r w:rsidR="00B6183F">
        <w:rPr>
          <w:rFonts w:ascii="Calibri" w:hAnsi="Calibri" w:cs="Calibri"/>
          <w:sz w:val="22"/>
          <w:szCs w:val="22"/>
        </w:rPr>
        <w:t>provide technical assistance</w:t>
      </w:r>
      <w:r w:rsidRPr="00EA3892">
        <w:rPr>
          <w:rFonts w:ascii="Calibri" w:hAnsi="Calibri" w:cs="Calibri"/>
          <w:sz w:val="22"/>
          <w:szCs w:val="22"/>
        </w:rPr>
        <w:t xml:space="preserve"> to the municipality, building the municipality's capacity, preparing the necessary analysis and documentation, and actively supporting the municipality through each step of the process required to bring it to a position where it can credibly approach and secure commercial financing.</w:t>
      </w:r>
    </w:p>
    <w:p w14:paraId="5DB1D3EC" w14:textId="751BDA68" w:rsidR="00EA3892" w:rsidRPr="00EA3892" w:rsidRDefault="00EA3892" w:rsidP="00EA3892">
      <w:pPr>
        <w:jc w:val="both"/>
        <w:rPr>
          <w:rFonts w:ascii="Calibri" w:hAnsi="Calibri" w:cs="Calibri"/>
          <w:sz w:val="22"/>
          <w:szCs w:val="22"/>
        </w:rPr>
      </w:pPr>
      <w:r w:rsidRPr="00EA3892">
        <w:rPr>
          <w:rFonts w:ascii="Calibri" w:hAnsi="Calibri" w:cs="Calibri"/>
          <w:sz w:val="22"/>
          <w:szCs w:val="22"/>
        </w:rPr>
        <w:t>The World Bank is seeking to engage a specialized consulting firm with demonstrated expertise in South African municipal finance, capital markets, and infrastructure project preparation to deliver this assignment.</w:t>
      </w:r>
    </w:p>
    <w:p w14:paraId="0A1BDA75" w14:textId="77777777" w:rsidR="00EA3892" w:rsidRPr="00EA3892" w:rsidRDefault="00EA3892" w:rsidP="00EA3892">
      <w:pPr>
        <w:pStyle w:val="Heading2"/>
      </w:pPr>
      <w:r w:rsidRPr="00EA3892">
        <w:t>Scope of Work</w:t>
      </w:r>
    </w:p>
    <w:p w14:paraId="6998662F" w14:textId="77777777" w:rsidR="00EA3892" w:rsidRPr="00EA3892" w:rsidRDefault="00EA3892" w:rsidP="00EA3892">
      <w:pPr>
        <w:pStyle w:val="Heading3"/>
      </w:pPr>
      <w:r w:rsidRPr="00EA3892">
        <w:t>Activity 1: Municipal Market Readiness</w:t>
      </w:r>
    </w:p>
    <w:p w14:paraId="1695154F" w14:textId="07AA6AD4" w:rsidR="00EA3892" w:rsidRPr="00EA3892" w:rsidRDefault="00EA3892" w:rsidP="00EA3892">
      <w:pPr>
        <w:jc w:val="both"/>
        <w:rPr>
          <w:rFonts w:ascii="Calibri" w:hAnsi="Calibri" w:cs="Calibri"/>
          <w:sz w:val="22"/>
          <w:szCs w:val="22"/>
        </w:rPr>
      </w:pPr>
      <w:r w:rsidRPr="00EA3892">
        <w:rPr>
          <w:rFonts w:ascii="Calibri" w:hAnsi="Calibri" w:cs="Calibri"/>
          <w:sz w:val="22"/>
          <w:szCs w:val="22"/>
        </w:rPr>
        <w:t xml:space="preserve">The objective of this activity is to ensure each municipality is financially and institutionally prepared to engage with commercial lenders and investors. The firm will work hand-in-hand with municipal finance </w:t>
      </w:r>
      <w:r w:rsidRPr="00EA3892">
        <w:rPr>
          <w:rFonts w:ascii="Calibri" w:hAnsi="Calibri" w:cs="Calibri"/>
          <w:sz w:val="22"/>
          <w:szCs w:val="22"/>
        </w:rPr>
        <w:lastRenderedPageBreak/>
        <w:t>and planning teams and under the guidance of the World Bank and National Treasury to build and demonstrate that readiness. Specific tasks include:</w:t>
      </w:r>
    </w:p>
    <w:p w14:paraId="705F3151" w14:textId="77777777" w:rsidR="00EA3892" w:rsidRPr="00EA3892" w:rsidRDefault="00EA3892" w:rsidP="00EA3892">
      <w:pPr>
        <w:numPr>
          <w:ilvl w:val="0"/>
          <w:numId w:val="1"/>
        </w:numPr>
        <w:jc w:val="both"/>
        <w:rPr>
          <w:rFonts w:ascii="Calibri" w:hAnsi="Calibri" w:cs="Calibri"/>
          <w:sz w:val="22"/>
          <w:szCs w:val="22"/>
        </w:rPr>
      </w:pPr>
      <w:r w:rsidRPr="00EA3892">
        <w:rPr>
          <w:rFonts w:ascii="Calibri" w:hAnsi="Calibri" w:cs="Calibri"/>
          <w:sz w:val="22"/>
          <w:szCs w:val="22"/>
        </w:rPr>
        <w:t>Conducting a comprehensive creditworthiness assessment for each municipality, covering revenue performance, expenditure management, debt levels, liquidity position, and compliance with the Municipal Finance Management Act (MFMA), with a clear view to identifying what needs to be strengthened for the municipality to be creditworthy in the eyes of commercial lenders.</w:t>
      </w:r>
    </w:p>
    <w:p w14:paraId="0EF3E46B" w14:textId="71F3F07C" w:rsidR="00EA3892" w:rsidRPr="00EA3892" w:rsidRDefault="00EA3892" w:rsidP="00EA3892">
      <w:pPr>
        <w:numPr>
          <w:ilvl w:val="0"/>
          <w:numId w:val="1"/>
        </w:numPr>
        <w:jc w:val="both"/>
        <w:rPr>
          <w:rFonts w:ascii="Calibri" w:hAnsi="Calibri" w:cs="Calibri"/>
          <w:sz w:val="22"/>
          <w:szCs w:val="22"/>
        </w:rPr>
      </w:pPr>
      <w:r w:rsidRPr="00EA3892">
        <w:rPr>
          <w:rFonts w:ascii="Calibri" w:hAnsi="Calibri" w:cs="Calibri"/>
          <w:sz w:val="22"/>
          <w:szCs w:val="22"/>
        </w:rPr>
        <w:t>Developing detailed financial models to assess borrowing capacity under multiple scenarios, including cash-flow forecasting, revenue optimization, and cost recovery projections.</w:t>
      </w:r>
    </w:p>
    <w:p w14:paraId="3D8E973E" w14:textId="2D89E98D" w:rsidR="00EA3892" w:rsidRPr="00EA3892" w:rsidRDefault="005237F0" w:rsidP="00EA3892">
      <w:pPr>
        <w:numPr>
          <w:ilvl w:val="0"/>
          <w:numId w:val="1"/>
        </w:numPr>
        <w:jc w:val="both"/>
        <w:rPr>
          <w:rFonts w:ascii="Calibri" w:hAnsi="Calibri" w:cs="Calibri"/>
          <w:sz w:val="22"/>
          <w:szCs w:val="22"/>
        </w:rPr>
      </w:pPr>
      <w:r>
        <w:rPr>
          <w:rFonts w:ascii="Calibri" w:hAnsi="Calibri" w:cs="Calibri"/>
          <w:sz w:val="22"/>
          <w:szCs w:val="22"/>
        </w:rPr>
        <w:t xml:space="preserve">Support the municipality in </w:t>
      </w:r>
      <w:r w:rsidR="005A24B0">
        <w:rPr>
          <w:rFonts w:ascii="Calibri" w:hAnsi="Calibri" w:cs="Calibri"/>
          <w:sz w:val="22"/>
          <w:szCs w:val="22"/>
        </w:rPr>
        <w:t>identifying</w:t>
      </w:r>
      <w:r w:rsidR="00EA3892" w:rsidRPr="00EA3892">
        <w:rPr>
          <w:rFonts w:ascii="Calibri" w:hAnsi="Calibri" w:cs="Calibri"/>
          <w:sz w:val="22"/>
          <w:szCs w:val="22"/>
        </w:rPr>
        <w:t xml:space="preserve"> bankable pipeline of priority investment projects, including </w:t>
      </w:r>
      <w:r w:rsidR="005A24B0">
        <w:rPr>
          <w:rFonts w:ascii="Calibri" w:hAnsi="Calibri" w:cs="Calibri"/>
          <w:sz w:val="22"/>
          <w:szCs w:val="22"/>
        </w:rPr>
        <w:t>providing advice to enhance the bankability. This may include</w:t>
      </w:r>
      <w:r w:rsidR="00EA3892" w:rsidRPr="00EA3892">
        <w:rPr>
          <w:rFonts w:ascii="Calibri" w:hAnsi="Calibri" w:cs="Calibri"/>
          <w:sz w:val="22"/>
          <w:szCs w:val="22"/>
        </w:rPr>
        <w:t xml:space="preserve"> financial packaging, so that the municipality can present specific, credible investment opportunities to the market.</w:t>
      </w:r>
    </w:p>
    <w:p w14:paraId="224CEC1C" w14:textId="77777777" w:rsidR="00EA3892" w:rsidRPr="00EA3892" w:rsidRDefault="00EA3892" w:rsidP="00EA3892">
      <w:pPr>
        <w:numPr>
          <w:ilvl w:val="0"/>
          <w:numId w:val="1"/>
        </w:numPr>
        <w:jc w:val="both"/>
        <w:rPr>
          <w:rFonts w:ascii="Calibri" w:hAnsi="Calibri" w:cs="Calibri"/>
          <w:sz w:val="22"/>
          <w:szCs w:val="22"/>
        </w:rPr>
      </w:pPr>
      <w:r w:rsidRPr="00EA3892">
        <w:rPr>
          <w:rFonts w:ascii="Calibri" w:hAnsi="Calibri" w:cs="Calibri"/>
          <w:sz w:val="22"/>
          <w:szCs w:val="22"/>
        </w:rPr>
        <w:t>Facilitating cross-departmental coordination within the municipality to integrate long-term spatial development plans, infrastructure investment plans, and financial planning into a coherent, investor-ready framework.</w:t>
      </w:r>
    </w:p>
    <w:p w14:paraId="7C0AA5B1" w14:textId="5CDC75F4" w:rsidR="00EA3892" w:rsidRPr="00EA3892" w:rsidRDefault="00EA3892" w:rsidP="00EA3892">
      <w:pPr>
        <w:pStyle w:val="Heading2"/>
      </w:pPr>
      <w:r w:rsidRPr="00EA3892">
        <w:t>Activity 2: Finance Structuring</w:t>
      </w:r>
    </w:p>
    <w:p w14:paraId="3F8367FE" w14:textId="43D2B7B0" w:rsidR="00EA3892" w:rsidRPr="00EA3892" w:rsidRDefault="00EA3892" w:rsidP="00EA3892">
      <w:pPr>
        <w:jc w:val="both"/>
        <w:rPr>
          <w:rFonts w:ascii="Calibri" w:hAnsi="Calibri" w:cs="Calibri"/>
          <w:sz w:val="22"/>
          <w:szCs w:val="22"/>
        </w:rPr>
      </w:pPr>
      <w:r w:rsidRPr="00EA3892">
        <w:rPr>
          <w:rFonts w:ascii="Calibri" w:hAnsi="Calibri" w:cs="Calibri"/>
          <w:sz w:val="22"/>
          <w:szCs w:val="22"/>
        </w:rPr>
        <w:t>Once market readiness is established, the firm will design the actual financing structures through which each municipality will seek to raise commercial finance. Specific tasks include:</w:t>
      </w:r>
    </w:p>
    <w:p w14:paraId="2F395C4F" w14:textId="3176870B" w:rsidR="00EA3892" w:rsidRPr="00EA3892" w:rsidRDefault="00EA3892" w:rsidP="00EA3892">
      <w:pPr>
        <w:numPr>
          <w:ilvl w:val="0"/>
          <w:numId w:val="2"/>
        </w:numPr>
        <w:jc w:val="both"/>
        <w:rPr>
          <w:rFonts w:ascii="Calibri" w:hAnsi="Calibri" w:cs="Calibri"/>
          <w:sz w:val="22"/>
          <w:szCs w:val="22"/>
        </w:rPr>
      </w:pPr>
      <w:r w:rsidRPr="00EA3892">
        <w:rPr>
          <w:rFonts w:ascii="Calibri" w:hAnsi="Calibri" w:cs="Calibri"/>
          <w:sz w:val="22"/>
          <w:szCs w:val="22"/>
        </w:rPr>
        <w:t>Advising on and structuring financing solutions that combine commercial, concessional, and blended capital sources in a way that is suited to the municipality's financial profile, investment priorities, and the current South African market environment.</w:t>
      </w:r>
    </w:p>
    <w:p w14:paraId="4696FECB" w14:textId="00BEC41F" w:rsidR="00EA3892" w:rsidRPr="00EA3892" w:rsidRDefault="00EA3892" w:rsidP="00EA3892">
      <w:pPr>
        <w:numPr>
          <w:ilvl w:val="0"/>
          <w:numId w:val="2"/>
        </w:numPr>
        <w:jc w:val="both"/>
        <w:rPr>
          <w:rFonts w:ascii="Calibri" w:hAnsi="Calibri" w:cs="Calibri"/>
          <w:sz w:val="22"/>
          <w:szCs w:val="22"/>
        </w:rPr>
      </w:pPr>
      <w:r w:rsidRPr="00EA3892">
        <w:rPr>
          <w:rFonts w:ascii="Calibri" w:hAnsi="Calibri" w:cs="Calibri"/>
          <w:sz w:val="22"/>
          <w:szCs w:val="22"/>
        </w:rPr>
        <w:t xml:space="preserve">Where </w:t>
      </w:r>
      <w:r w:rsidR="005627AA">
        <w:rPr>
          <w:rFonts w:ascii="Calibri" w:hAnsi="Calibri" w:cs="Calibri"/>
          <w:sz w:val="22"/>
          <w:szCs w:val="22"/>
        </w:rPr>
        <w:t xml:space="preserve">possible and </w:t>
      </w:r>
      <w:r w:rsidRPr="00EA3892">
        <w:rPr>
          <w:rFonts w:ascii="Calibri" w:hAnsi="Calibri" w:cs="Calibri"/>
          <w:sz w:val="22"/>
          <w:szCs w:val="22"/>
        </w:rPr>
        <w:t xml:space="preserve">appropriate, identifying opportunities for blended finance structures that link concessional funding terms in order to make the overall financing package more attractive. </w:t>
      </w:r>
    </w:p>
    <w:p w14:paraId="29B97F26" w14:textId="77777777" w:rsidR="00EA3892" w:rsidRPr="00EA3892" w:rsidRDefault="00EA3892" w:rsidP="00EA3892">
      <w:pPr>
        <w:numPr>
          <w:ilvl w:val="0"/>
          <w:numId w:val="2"/>
        </w:numPr>
        <w:jc w:val="both"/>
        <w:rPr>
          <w:rFonts w:ascii="Calibri" w:hAnsi="Calibri" w:cs="Calibri"/>
          <w:sz w:val="22"/>
          <w:szCs w:val="22"/>
        </w:rPr>
      </w:pPr>
      <w:r w:rsidRPr="00EA3892">
        <w:rPr>
          <w:rFonts w:ascii="Calibri" w:hAnsi="Calibri" w:cs="Calibri"/>
          <w:sz w:val="22"/>
          <w:szCs w:val="22"/>
        </w:rPr>
        <w:t>Preparing indicative term sheets and financing plans for priority investment projects that can be presented directly to prospective financiers.</w:t>
      </w:r>
    </w:p>
    <w:p w14:paraId="4C4FA0A2" w14:textId="6F617590" w:rsidR="00EA3892" w:rsidRPr="00EA3892" w:rsidRDefault="00EA3892" w:rsidP="00EA3892">
      <w:pPr>
        <w:numPr>
          <w:ilvl w:val="0"/>
          <w:numId w:val="2"/>
        </w:numPr>
        <w:jc w:val="both"/>
        <w:rPr>
          <w:rFonts w:ascii="Calibri" w:hAnsi="Calibri" w:cs="Calibri"/>
          <w:sz w:val="22"/>
          <w:szCs w:val="22"/>
        </w:rPr>
      </w:pPr>
      <w:r w:rsidRPr="00EA3892">
        <w:rPr>
          <w:rFonts w:ascii="Calibri" w:hAnsi="Calibri" w:cs="Calibri"/>
          <w:sz w:val="22"/>
          <w:szCs w:val="22"/>
        </w:rPr>
        <w:t xml:space="preserve">Engaging development finance partners and concessional financiers </w:t>
      </w:r>
      <w:r w:rsidR="00377505">
        <w:rPr>
          <w:rFonts w:ascii="Calibri" w:hAnsi="Calibri" w:cs="Calibri"/>
          <w:sz w:val="22"/>
          <w:szCs w:val="22"/>
        </w:rPr>
        <w:t>that can lower finance costs and/or</w:t>
      </w:r>
      <w:r w:rsidRPr="00EA3892">
        <w:rPr>
          <w:rFonts w:ascii="Calibri" w:hAnsi="Calibri" w:cs="Calibri"/>
          <w:sz w:val="22"/>
          <w:szCs w:val="22"/>
        </w:rPr>
        <w:t xml:space="preserve"> resources that can de-risk the financing structure and improve commercial viability.</w:t>
      </w:r>
    </w:p>
    <w:p w14:paraId="25D239CD" w14:textId="77777777" w:rsidR="00EA3892" w:rsidRPr="00EA3892" w:rsidRDefault="00EA3892" w:rsidP="00A7619F">
      <w:pPr>
        <w:pStyle w:val="Heading3"/>
      </w:pPr>
      <w:r w:rsidRPr="00EA3892">
        <w:t>Activity 3: Partner and Investor Engagement</w:t>
      </w:r>
    </w:p>
    <w:p w14:paraId="0D0023E0" w14:textId="110D8E7D" w:rsidR="00EA3892" w:rsidRPr="00EA3892" w:rsidRDefault="00EA3892" w:rsidP="00EA3892">
      <w:pPr>
        <w:jc w:val="both"/>
        <w:rPr>
          <w:rFonts w:ascii="Calibri" w:hAnsi="Calibri" w:cs="Calibri"/>
          <w:sz w:val="22"/>
          <w:szCs w:val="22"/>
        </w:rPr>
      </w:pPr>
      <w:r w:rsidRPr="00EA3892">
        <w:rPr>
          <w:rFonts w:ascii="Calibri" w:hAnsi="Calibri" w:cs="Calibri"/>
          <w:sz w:val="22"/>
          <w:szCs w:val="22"/>
        </w:rPr>
        <w:t>Specific tasks under this activity include:</w:t>
      </w:r>
    </w:p>
    <w:p w14:paraId="596CF6E7" w14:textId="77777777" w:rsidR="00EA3892" w:rsidRPr="00EA3892" w:rsidRDefault="00EA3892" w:rsidP="00EA3892">
      <w:pPr>
        <w:numPr>
          <w:ilvl w:val="0"/>
          <w:numId w:val="3"/>
        </w:numPr>
        <w:jc w:val="both"/>
        <w:rPr>
          <w:rFonts w:ascii="Calibri" w:hAnsi="Calibri" w:cs="Calibri"/>
          <w:sz w:val="22"/>
          <w:szCs w:val="22"/>
        </w:rPr>
      </w:pPr>
      <w:r w:rsidRPr="00EA3892">
        <w:rPr>
          <w:rFonts w:ascii="Calibri" w:hAnsi="Calibri" w:cs="Calibri"/>
          <w:sz w:val="22"/>
          <w:szCs w:val="22"/>
        </w:rPr>
        <w:t>Conducting market sounding exercises to identify and engage potential commercial lenders, investors, and co-financing partners who are relevant to each municipality's specific project pipeline and proposed financing structure.</w:t>
      </w:r>
    </w:p>
    <w:p w14:paraId="3DD4F041" w14:textId="77777777" w:rsidR="00EA3892" w:rsidRPr="00EA3892" w:rsidRDefault="00EA3892" w:rsidP="00EA3892">
      <w:pPr>
        <w:numPr>
          <w:ilvl w:val="0"/>
          <w:numId w:val="3"/>
        </w:numPr>
        <w:jc w:val="both"/>
        <w:rPr>
          <w:rFonts w:ascii="Calibri" w:hAnsi="Calibri" w:cs="Calibri"/>
          <w:sz w:val="22"/>
          <w:szCs w:val="22"/>
        </w:rPr>
      </w:pPr>
      <w:r w:rsidRPr="00EA3892">
        <w:rPr>
          <w:rFonts w:ascii="Calibri" w:hAnsi="Calibri" w:cs="Calibri"/>
          <w:sz w:val="22"/>
          <w:szCs w:val="22"/>
        </w:rPr>
        <w:t>Organizing targeted investor workshops and bilateral meetings to facilitate structured dialogue between municipalities and prospective financiers, with the clear goal of advancing specific financing transactions toward financial close.</w:t>
      </w:r>
    </w:p>
    <w:p w14:paraId="2D11C97A" w14:textId="77777777" w:rsidR="00EA3892" w:rsidRPr="00EA3892" w:rsidRDefault="00EA3892" w:rsidP="00EA3892">
      <w:pPr>
        <w:numPr>
          <w:ilvl w:val="0"/>
          <w:numId w:val="3"/>
        </w:numPr>
        <w:jc w:val="both"/>
        <w:rPr>
          <w:rFonts w:ascii="Calibri" w:hAnsi="Calibri" w:cs="Calibri"/>
          <w:sz w:val="22"/>
          <w:szCs w:val="22"/>
        </w:rPr>
      </w:pPr>
      <w:r w:rsidRPr="00EA3892">
        <w:rPr>
          <w:rFonts w:ascii="Calibri" w:hAnsi="Calibri" w:cs="Calibri"/>
          <w:sz w:val="22"/>
          <w:szCs w:val="22"/>
        </w:rPr>
        <w:lastRenderedPageBreak/>
        <w:t>Preparing all necessary investor engagement materials, including information memoranda, financing presentations, and transaction summaries, to support the municipality in making its case to the market.</w:t>
      </w:r>
    </w:p>
    <w:p w14:paraId="0E03F601" w14:textId="77777777" w:rsidR="00EA3892" w:rsidRPr="00EA3892" w:rsidRDefault="00EA3892" w:rsidP="00A7619F">
      <w:pPr>
        <w:pStyle w:val="Heading2"/>
      </w:pPr>
      <w:r w:rsidRPr="00EA3892">
        <w:t>Key Deliverables</w:t>
      </w:r>
    </w:p>
    <w:p w14:paraId="49013657" w14:textId="77777777" w:rsidR="00EA3892" w:rsidRPr="00EA3892" w:rsidRDefault="00EA3892" w:rsidP="00EA3892">
      <w:pPr>
        <w:jc w:val="both"/>
        <w:rPr>
          <w:rFonts w:ascii="Calibri" w:hAnsi="Calibri" w:cs="Calibri"/>
          <w:sz w:val="22"/>
          <w:szCs w:val="22"/>
        </w:rPr>
      </w:pPr>
      <w:r w:rsidRPr="00EA3892">
        <w:rPr>
          <w:rFonts w:ascii="Calibri" w:hAnsi="Calibri" w:cs="Calibri"/>
          <w:sz w:val="22"/>
          <w:szCs w:val="22"/>
        </w:rPr>
        <w:t>The firm will be expected to produce the following outputs for each participating municipality:</w:t>
      </w:r>
    </w:p>
    <w:p w14:paraId="4E8E875D" w14:textId="77777777" w:rsidR="00EA3892" w:rsidRPr="00EA3892" w:rsidRDefault="00EA3892" w:rsidP="00EA3892">
      <w:pPr>
        <w:numPr>
          <w:ilvl w:val="0"/>
          <w:numId w:val="4"/>
        </w:numPr>
        <w:jc w:val="both"/>
        <w:rPr>
          <w:rFonts w:ascii="Calibri" w:hAnsi="Calibri" w:cs="Calibri"/>
          <w:sz w:val="22"/>
          <w:szCs w:val="22"/>
        </w:rPr>
      </w:pPr>
      <w:r w:rsidRPr="00EA3892">
        <w:rPr>
          <w:rFonts w:ascii="Calibri" w:hAnsi="Calibri" w:cs="Calibri"/>
          <w:sz w:val="22"/>
          <w:szCs w:val="22"/>
        </w:rPr>
        <w:t>A creditworthiness assessment report, including a gap analysis and action plan oriented toward commercial finance readiness.</w:t>
      </w:r>
    </w:p>
    <w:p w14:paraId="4CEBD9DE" w14:textId="77777777" w:rsidR="00EA3892" w:rsidRPr="00EA3892" w:rsidRDefault="00EA3892" w:rsidP="00EA3892">
      <w:pPr>
        <w:numPr>
          <w:ilvl w:val="0"/>
          <w:numId w:val="4"/>
        </w:numPr>
        <w:jc w:val="both"/>
        <w:rPr>
          <w:rFonts w:ascii="Calibri" w:hAnsi="Calibri" w:cs="Calibri"/>
          <w:sz w:val="22"/>
          <w:szCs w:val="22"/>
        </w:rPr>
      </w:pPr>
      <w:r w:rsidRPr="00EA3892">
        <w:rPr>
          <w:rFonts w:ascii="Calibri" w:hAnsi="Calibri" w:cs="Calibri"/>
          <w:sz w:val="22"/>
          <w:szCs w:val="22"/>
        </w:rPr>
        <w:t>Financial models assessing borrowing capacity and financing scenarios.</w:t>
      </w:r>
    </w:p>
    <w:p w14:paraId="264E1D2E" w14:textId="54E3CA53" w:rsidR="008318BF" w:rsidRPr="00EA3892" w:rsidRDefault="00AF7A2E" w:rsidP="00EA3892">
      <w:pPr>
        <w:numPr>
          <w:ilvl w:val="0"/>
          <w:numId w:val="4"/>
        </w:numPr>
        <w:jc w:val="both"/>
        <w:rPr>
          <w:rFonts w:ascii="Calibri" w:hAnsi="Calibri" w:cs="Calibri"/>
          <w:sz w:val="22"/>
          <w:szCs w:val="22"/>
        </w:rPr>
      </w:pPr>
      <w:r>
        <w:rPr>
          <w:rFonts w:ascii="Calibri" w:hAnsi="Calibri" w:cs="Calibri"/>
          <w:sz w:val="22"/>
          <w:szCs w:val="22"/>
        </w:rPr>
        <w:t>Financing plans f</w:t>
      </w:r>
      <w:r>
        <w:rPr>
          <w:rFonts w:ascii="Calibri" w:hAnsi="Calibri" w:cs="Calibri"/>
          <w:sz w:val="22"/>
          <w:szCs w:val="22"/>
        </w:rPr>
        <w:t xml:space="preserve">or identified </w:t>
      </w:r>
      <w:r>
        <w:rPr>
          <w:rFonts w:ascii="Calibri" w:hAnsi="Calibri" w:cs="Calibri"/>
          <w:sz w:val="22"/>
          <w:szCs w:val="22"/>
        </w:rPr>
        <w:t xml:space="preserve">bankable </w:t>
      </w:r>
      <w:r>
        <w:rPr>
          <w:rFonts w:ascii="Calibri" w:hAnsi="Calibri" w:cs="Calibri"/>
          <w:sz w:val="22"/>
          <w:szCs w:val="22"/>
        </w:rPr>
        <w:t>investment proposals</w:t>
      </w:r>
      <w:r>
        <w:rPr>
          <w:rFonts w:ascii="Calibri" w:hAnsi="Calibri" w:cs="Calibri"/>
          <w:sz w:val="22"/>
          <w:szCs w:val="22"/>
        </w:rPr>
        <w:t>.</w:t>
      </w:r>
    </w:p>
    <w:p w14:paraId="419992D8" w14:textId="6C05A4D7" w:rsidR="00EA3892" w:rsidRPr="00EA3892" w:rsidRDefault="00EA3892" w:rsidP="00EA3892">
      <w:pPr>
        <w:numPr>
          <w:ilvl w:val="0"/>
          <w:numId w:val="4"/>
        </w:numPr>
        <w:jc w:val="both"/>
        <w:rPr>
          <w:rFonts w:ascii="Calibri" w:hAnsi="Calibri" w:cs="Calibri"/>
          <w:sz w:val="22"/>
          <w:szCs w:val="22"/>
        </w:rPr>
      </w:pPr>
      <w:r w:rsidRPr="00EA3892">
        <w:rPr>
          <w:rFonts w:ascii="Calibri" w:hAnsi="Calibri" w:cs="Calibri"/>
          <w:sz w:val="22"/>
          <w:szCs w:val="22"/>
        </w:rPr>
        <w:t>Blended finance structuring options, including metric definitions, verification mechanisms, and indicative term sheets.</w:t>
      </w:r>
    </w:p>
    <w:p w14:paraId="03642928" w14:textId="77777777" w:rsidR="00EA3892" w:rsidRPr="00EA3892" w:rsidRDefault="00EA3892" w:rsidP="00EA3892">
      <w:pPr>
        <w:numPr>
          <w:ilvl w:val="0"/>
          <w:numId w:val="4"/>
        </w:numPr>
        <w:jc w:val="both"/>
        <w:rPr>
          <w:rFonts w:ascii="Calibri" w:hAnsi="Calibri" w:cs="Calibri"/>
          <w:sz w:val="22"/>
          <w:szCs w:val="22"/>
        </w:rPr>
      </w:pPr>
      <w:r w:rsidRPr="00EA3892">
        <w:rPr>
          <w:rFonts w:ascii="Calibri" w:hAnsi="Calibri" w:cs="Calibri"/>
          <w:sz w:val="22"/>
          <w:szCs w:val="22"/>
        </w:rPr>
        <w:t>Investor engagement materials and market sounding documentation.</w:t>
      </w:r>
    </w:p>
    <w:p w14:paraId="23C2E83B" w14:textId="77777777" w:rsidR="00EA3892" w:rsidRPr="00EA3892" w:rsidRDefault="00EA3892" w:rsidP="00A7619F">
      <w:pPr>
        <w:pStyle w:val="Heading2"/>
      </w:pPr>
      <w:r w:rsidRPr="00EA3892">
        <w:t>Firm Qualifications</w:t>
      </w:r>
    </w:p>
    <w:p w14:paraId="0753E977" w14:textId="3623F307" w:rsidR="00EA3892" w:rsidRPr="00EA3892" w:rsidRDefault="00EA3892" w:rsidP="00EA3892">
      <w:pPr>
        <w:jc w:val="both"/>
        <w:rPr>
          <w:rFonts w:ascii="Calibri" w:hAnsi="Calibri" w:cs="Calibri"/>
          <w:sz w:val="22"/>
          <w:szCs w:val="22"/>
        </w:rPr>
      </w:pPr>
      <w:r w:rsidRPr="00EA3892">
        <w:rPr>
          <w:rFonts w:ascii="Calibri" w:hAnsi="Calibri" w:cs="Calibri"/>
          <w:sz w:val="22"/>
          <w:szCs w:val="22"/>
        </w:rPr>
        <w:t>The World Bank is seeking a firm that combines deep institutional knowledge of South African municipal finance with hands-on transaction structuring and capital markets experience. The following qualifications are required:</w:t>
      </w:r>
    </w:p>
    <w:p w14:paraId="39303F64" w14:textId="77777777" w:rsidR="00EA3892" w:rsidRPr="00EA3892" w:rsidRDefault="00EA3892" w:rsidP="00A7619F">
      <w:pPr>
        <w:pStyle w:val="Heading3"/>
      </w:pPr>
      <w:r w:rsidRPr="00EA3892">
        <w:t>Experience and Track Record</w:t>
      </w:r>
    </w:p>
    <w:p w14:paraId="0AFCABE9" w14:textId="77777777" w:rsidR="00EA3892" w:rsidRPr="00EA3892" w:rsidRDefault="00EA3892" w:rsidP="00EA3892">
      <w:pPr>
        <w:numPr>
          <w:ilvl w:val="0"/>
          <w:numId w:val="5"/>
        </w:numPr>
        <w:jc w:val="both"/>
        <w:rPr>
          <w:rFonts w:ascii="Calibri" w:hAnsi="Calibri" w:cs="Calibri"/>
          <w:sz w:val="22"/>
          <w:szCs w:val="22"/>
        </w:rPr>
      </w:pPr>
      <w:r w:rsidRPr="00EA3892">
        <w:rPr>
          <w:rFonts w:ascii="Calibri" w:hAnsi="Calibri" w:cs="Calibri"/>
          <w:sz w:val="22"/>
          <w:szCs w:val="22"/>
        </w:rPr>
        <w:t>At least 10 years of demonstrated experience working directly with South African municipalities on financial management, creditworthiness improvement, capital market access, or infrastructure finance. Experience specifically with secondary cities or smaller municipalities will be an advantage.</w:t>
      </w:r>
    </w:p>
    <w:p w14:paraId="4A5C77FD" w14:textId="78B03A4D" w:rsidR="00EA3892" w:rsidRPr="00EA3892" w:rsidRDefault="00EA3892" w:rsidP="00EA3892">
      <w:pPr>
        <w:numPr>
          <w:ilvl w:val="0"/>
          <w:numId w:val="5"/>
        </w:numPr>
        <w:jc w:val="both"/>
        <w:rPr>
          <w:rFonts w:ascii="Calibri" w:hAnsi="Calibri" w:cs="Calibri"/>
          <w:sz w:val="22"/>
          <w:szCs w:val="22"/>
        </w:rPr>
      </w:pPr>
      <w:r w:rsidRPr="00EA3892">
        <w:rPr>
          <w:rFonts w:ascii="Calibri" w:hAnsi="Calibri" w:cs="Calibri"/>
          <w:sz w:val="22"/>
          <w:szCs w:val="22"/>
        </w:rPr>
        <w:t xml:space="preserve">Demonstrated experience in </w:t>
      </w:r>
      <w:r w:rsidR="004F5F5F">
        <w:rPr>
          <w:rFonts w:ascii="Calibri" w:hAnsi="Calibri" w:cs="Calibri"/>
          <w:sz w:val="22"/>
          <w:szCs w:val="22"/>
        </w:rPr>
        <w:t>technical assistance</w:t>
      </w:r>
      <w:r w:rsidRPr="00EA3892">
        <w:rPr>
          <w:rFonts w:ascii="Calibri" w:hAnsi="Calibri" w:cs="Calibri"/>
          <w:sz w:val="22"/>
          <w:szCs w:val="22"/>
        </w:rPr>
        <w:t>, including the</w:t>
      </w:r>
      <w:r w:rsidR="00C97790">
        <w:rPr>
          <w:rFonts w:ascii="Calibri" w:hAnsi="Calibri" w:cs="Calibri"/>
          <w:sz w:val="22"/>
          <w:szCs w:val="22"/>
        </w:rPr>
        <w:t xml:space="preserve"> </w:t>
      </w:r>
      <w:r w:rsidR="00BE59CC">
        <w:rPr>
          <w:rFonts w:ascii="Calibri" w:hAnsi="Calibri" w:cs="Calibri"/>
          <w:sz w:val="22"/>
          <w:szCs w:val="22"/>
        </w:rPr>
        <w:t xml:space="preserve">development </w:t>
      </w:r>
      <w:r w:rsidRPr="00EA3892">
        <w:rPr>
          <w:rFonts w:ascii="Calibri" w:hAnsi="Calibri" w:cs="Calibri"/>
          <w:sz w:val="22"/>
          <w:szCs w:val="22"/>
        </w:rPr>
        <w:t>of blended finance solutions, the preparation of bankable investment proposals, and the development of financing packages for public sector clients.</w:t>
      </w:r>
    </w:p>
    <w:p w14:paraId="5873FD8D" w14:textId="77777777" w:rsidR="00EA3892" w:rsidRPr="00EA3892" w:rsidRDefault="00EA3892" w:rsidP="00EA3892">
      <w:pPr>
        <w:numPr>
          <w:ilvl w:val="0"/>
          <w:numId w:val="5"/>
        </w:numPr>
        <w:jc w:val="both"/>
        <w:rPr>
          <w:rFonts w:ascii="Calibri" w:hAnsi="Calibri" w:cs="Calibri"/>
          <w:sz w:val="22"/>
          <w:szCs w:val="22"/>
        </w:rPr>
      </w:pPr>
      <w:r w:rsidRPr="00EA3892">
        <w:rPr>
          <w:rFonts w:ascii="Calibri" w:hAnsi="Calibri" w:cs="Calibri"/>
          <w:sz w:val="22"/>
          <w:szCs w:val="22"/>
        </w:rPr>
        <w:t>Prior experience working alongside or in coordination with development finance institutions, national treasuries, or multilateral organizations on sub-national finance or infrastructure projects will be considered a strong advantage.</w:t>
      </w:r>
    </w:p>
    <w:p w14:paraId="74D2DF7D" w14:textId="77777777" w:rsidR="00EA3892" w:rsidRPr="00EA3892" w:rsidRDefault="00EA3892" w:rsidP="00A7619F">
      <w:pPr>
        <w:pStyle w:val="Heading3"/>
      </w:pPr>
      <w:r w:rsidRPr="00EA3892">
        <w:t>Technical Expertise</w:t>
      </w:r>
    </w:p>
    <w:p w14:paraId="58D4B35F" w14:textId="30CB6477" w:rsidR="00EA3892" w:rsidRPr="00EA3892" w:rsidRDefault="00EA3892" w:rsidP="00EA3892">
      <w:pPr>
        <w:numPr>
          <w:ilvl w:val="0"/>
          <w:numId w:val="6"/>
        </w:numPr>
        <w:jc w:val="both"/>
        <w:rPr>
          <w:rFonts w:ascii="Calibri" w:hAnsi="Calibri" w:cs="Calibri"/>
          <w:sz w:val="22"/>
          <w:szCs w:val="22"/>
        </w:rPr>
      </w:pPr>
      <w:r w:rsidRPr="00EA3892">
        <w:rPr>
          <w:rFonts w:ascii="Calibri" w:hAnsi="Calibri" w:cs="Calibri"/>
          <w:sz w:val="22"/>
          <w:szCs w:val="22"/>
        </w:rPr>
        <w:t>Expertise in South African municipal finance law and governance, including the Municipal Finance Management Act (MFMA), municipal budgeting and reporting frameworks, and the regulatory environment governing municipal borrowing.</w:t>
      </w:r>
    </w:p>
    <w:p w14:paraId="72F2322E" w14:textId="48DD9608" w:rsidR="00EA3892" w:rsidRPr="00EA3892" w:rsidRDefault="00EA3892" w:rsidP="00EA3892">
      <w:pPr>
        <w:numPr>
          <w:ilvl w:val="0"/>
          <w:numId w:val="6"/>
        </w:numPr>
        <w:jc w:val="both"/>
        <w:rPr>
          <w:rFonts w:ascii="Calibri" w:hAnsi="Calibri" w:cs="Calibri"/>
          <w:sz w:val="22"/>
          <w:szCs w:val="22"/>
        </w:rPr>
      </w:pPr>
      <w:r w:rsidRPr="00EA3892">
        <w:rPr>
          <w:rFonts w:ascii="Calibri" w:hAnsi="Calibri" w:cs="Calibri"/>
          <w:sz w:val="22"/>
          <w:szCs w:val="22"/>
        </w:rPr>
        <w:t>Strong capacity in financial modelling, credit analysis, and borrowing capacity assessment for public sector entities.</w:t>
      </w:r>
    </w:p>
    <w:p w14:paraId="507BF36A" w14:textId="55A21C19" w:rsidR="00EA3892" w:rsidRPr="00EA3892" w:rsidRDefault="00EA3892" w:rsidP="00EA3892">
      <w:pPr>
        <w:numPr>
          <w:ilvl w:val="0"/>
          <w:numId w:val="6"/>
        </w:numPr>
        <w:jc w:val="both"/>
        <w:rPr>
          <w:rFonts w:ascii="Calibri" w:hAnsi="Calibri" w:cs="Calibri"/>
          <w:sz w:val="22"/>
          <w:szCs w:val="22"/>
        </w:rPr>
      </w:pPr>
      <w:r w:rsidRPr="00EA3892">
        <w:rPr>
          <w:rFonts w:ascii="Calibri" w:hAnsi="Calibri" w:cs="Calibri"/>
          <w:sz w:val="22"/>
          <w:szCs w:val="22"/>
        </w:rPr>
        <w:lastRenderedPageBreak/>
        <w:t>Familiarity in the design and structuring of blended and outcome-based finance instruments and the requirements of concessional and development finance providers.</w:t>
      </w:r>
    </w:p>
    <w:p w14:paraId="3E360825" w14:textId="471CBF87" w:rsidR="00EA3892" w:rsidRPr="00EA3892" w:rsidRDefault="00EA3892" w:rsidP="00EA3892">
      <w:pPr>
        <w:numPr>
          <w:ilvl w:val="0"/>
          <w:numId w:val="6"/>
        </w:numPr>
        <w:jc w:val="both"/>
        <w:rPr>
          <w:rFonts w:ascii="Calibri" w:hAnsi="Calibri" w:cs="Calibri"/>
          <w:sz w:val="22"/>
          <w:szCs w:val="22"/>
        </w:rPr>
      </w:pPr>
      <w:r w:rsidRPr="00EA3892">
        <w:rPr>
          <w:rFonts w:ascii="Calibri" w:hAnsi="Calibri" w:cs="Calibri"/>
          <w:sz w:val="22"/>
          <w:szCs w:val="22"/>
        </w:rPr>
        <w:t>Knowledge of the South African capital markets landscape, including domestic bond markets, development finance institutions active in the municipal finance space (such as DBSA), and commercial lenders with sub-national exposure.</w:t>
      </w:r>
    </w:p>
    <w:p w14:paraId="39E336BA" w14:textId="37229BB2" w:rsidR="00EA3892" w:rsidRPr="00EA3892" w:rsidRDefault="00EA3892" w:rsidP="00A7619F">
      <w:pPr>
        <w:pStyle w:val="Heading3"/>
      </w:pPr>
      <w:r w:rsidRPr="00EA3892">
        <w:t>Capacity</w:t>
      </w:r>
    </w:p>
    <w:p w14:paraId="5CB75BC1" w14:textId="77777777" w:rsidR="00EA3892" w:rsidRPr="00EA3892" w:rsidRDefault="00EA3892" w:rsidP="00EA3892">
      <w:pPr>
        <w:numPr>
          <w:ilvl w:val="0"/>
          <w:numId w:val="7"/>
        </w:numPr>
        <w:jc w:val="both"/>
        <w:rPr>
          <w:rFonts w:ascii="Calibri" w:hAnsi="Calibri" w:cs="Calibri"/>
          <w:sz w:val="22"/>
          <w:szCs w:val="22"/>
        </w:rPr>
      </w:pPr>
      <w:r w:rsidRPr="00EA3892">
        <w:rPr>
          <w:rFonts w:ascii="Calibri" w:hAnsi="Calibri" w:cs="Calibri"/>
          <w:sz w:val="22"/>
          <w:szCs w:val="22"/>
        </w:rPr>
        <w:t>Sufficient professional staffing to deliver intensive, hands-on support to 2 municipalities simultaneously, with a team that includes senior advisors with direct transactional experience, financial modelling specialists, and professionals with experience in stakeholder and investor engagement.</w:t>
      </w:r>
    </w:p>
    <w:p w14:paraId="0147E152" w14:textId="55771CDE" w:rsidR="00EA3892" w:rsidRPr="00EA3892" w:rsidRDefault="00EA3892" w:rsidP="00EA3892">
      <w:pPr>
        <w:numPr>
          <w:ilvl w:val="0"/>
          <w:numId w:val="7"/>
        </w:numPr>
        <w:jc w:val="both"/>
        <w:rPr>
          <w:rFonts w:ascii="Calibri" w:hAnsi="Calibri" w:cs="Calibri"/>
          <w:sz w:val="22"/>
          <w:szCs w:val="22"/>
        </w:rPr>
      </w:pPr>
      <w:r w:rsidRPr="00EA3892">
        <w:rPr>
          <w:rFonts w:ascii="Calibri" w:hAnsi="Calibri" w:cs="Calibri"/>
          <w:sz w:val="22"/>
          <w:szCs w:val="22"/>
        </w:rPr>
        <w:t xml:space="preserve">The lead professionals assigned to this engagement should have a minimum of 10 years of relevant individual experience and should have personally led or co-led comparable municipal finance or infrastructure transaction </w:t>
      </w:r>
      <w:r w:rsidR="003A3447">
        <w:rPr>
          <w:rFonts w:ascii="Calibri" w:hAnsi="Calibri" w:cs="Calibri"/>
          <w:sz w:val="22"/>
          <w:szCs w:val="22"/>
        </w:rPr>
        <w:t>technical assistance</w:t>
      </w:r>
      <w:r w:rsidRPr="00EA3892">
        <w:rPr>
          <w:rFonts w:ascii="Calibri" w:hAnsi="Calibri" w:cs="Calibri"/>
          <w:sz w:val="22"/>
          <w:szCs w:val="22"/>
        </w:rPr>
        <w:t xml:space="preserve"> assignments.</w:t>
      </w:r>
    </w:p>
    <w:p w14:paraId="7591B64A" w14:textId="77777777" w:rsidR="00427063" w:rsidRPr="00EA3892" w:rsidRDefault="00427063" w:rsidP="00EA3892">
      <w:pPr>
        <w:jc w:val="both"/>
        <w:rPr>
          <w:rFonts w:ascii="Calibri" w:hAnsi="Calibri" w:cs="Calibri"/>
          <w:sz w:val="22"/>
          <w:szCs w:val="22"/>
        </w:rPr>
      </w:pPr>
    </w:p>
    <w:sectPr w:rsidR="00427063" w:rsidRPr="00EA3892">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F83FA" w14:textId="77777777" w:rsidR="00C258FD" w:rsidRDefault="00C258FD" w:rsidP="00A7619F">
      <w:pPr>
        <w:spacing w:after="0" w:line="240" w:lineRule="auto"/>
      </w:pPr>
      <w:r>
        <w:separator/>
      </w:r>
    </w:p>
  </w:endnote>
  <w:endnote w:type="continuationSeparator" w:id="0">
    <w:p w14:paraId="659597D3" w14:textId="77777777" w:rsidR="00C258FD" w:rsidRDefault="00C258FD" w:rsidP="00A76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83EC" w14:textId="14035224" w:rsidR="00A7619F" w:rsidRDefault="00A7619F">
    <w:pPr>
      <w:pStyle w:val="Footer"/>
    </w:pPr>
    <w:r>
      <w:rPr>
        <w:noProof/>
      </w:rPr>
      <mc:AlternateContent>
        <mc:Choice Requires="wps">
          <w:drawing>
            <wp:anchor distT="0" distB="0" distL="0" distR="0" simplePos="0" relativeHeight="251659264" behindDoc="0" locked="0" layoutInCell="1" allowOverlap="1" wp14:anchorId="5E72DFEE" wp14:editId="6DDA0714">
              <wp:simplePos x="635" y="635"/>
              <wp:positionH relativeFrom="page">
                <wp:align>right</wp:align>
              </wp:positionH>
              <wp:positionV relativeFrom="page">
                <wp:align>bottom</wp:align>
              </wp:positionV>
              <wp:extent cx="1170305" cy="370205"/>
              <wp:effectExtent l="0" t="0" r="0" b="0"/>
              <wp:wrapNone/>
              <wp:docPr id="126236981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5F05A16D" w14:textId="760EB473"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E72DFEE"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" filled="f" stroked="f">
              <v:fill o:detectmouseclick="t"/>
              <v:textbox style="mso-fit-shape-to-text:t" inset="0,0,20pt,15pt">
                <w:txbxContent>
                  <w:p w14:paraId="5F05A16D" w14:textId="760EB473"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6565" w14:textId="3B9C8362" w:rsidR="00A7619F" w:rsidRDefault="00A7619F">
    <w:pPr>
      <w:pStyle w:val="Footer"/>
    </w:pPr>
    <w:r>
      <w:rPr>
        <w:noProof/>
      </w:rPr>
      <mc:AlternateContent>
        <mc:Choice Requires="wps">
          <w:drawing>
            <wp:anchor distT="0" distB="0" distL="0" distR="0" simplePos="0" relativeHeight="251660288" behindDoc="0" locked="0" layoutInCell="1" allowOverlap="1" wp14:anchorId="7E692B27" wp14:editId="07B079DD">
              <wp:simplePos x="914400" y="9415463"/>
              <wp:positionH relativeFrom="page">
                <wp:align>right</wp:align>
              </wp:positionH>
              <wp:positionV relativeFrom="page">
                <wp:align>bottom</wp:align>
              </wp:positionV>
              <wp:extent cx="1170305" cy="370205"/>
              <wp:effectExtent l="0" t="0" r="0" b="0"/>
              <wp:wrapNone/>
              <wp:docPr id="196049861"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5059D2AC" w14:textId="20F3F99C"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E692B27" id="_x0000_t202" coordsize="21600,21600" o:spt="202" path="m,l,21600r21600,l21600,xe">
              <v:stroke joinstyle="miter"/>
              <v:path gradientshapeok="t" o:connecttype="rect"/>
            </v:shapetype>
            <v:shape id="Text Box 3" o:spid="_x0000_s1027" type="#_x0000_t202" alt="Official Use Only" style="position:absolute;margin-left:40.95pt;margin-top:0;width:92.15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" filled="f" stroked="f">
              <v:fill o:detectmouseclick="t"/>
              <v:textbox style="mso-fit-shape-to-text:t" inset="0,0,20pt,15pt">
                <w:txbxContent>
                  <w:p w14:paraId="5059D2AC" w14:textId="20F3F99C"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6547" w14:textId="65B79683" w:rsidR="00A7619F" w:rsidRDefault="00A7619F">
    <w:pPr>
      <w:pStyle w:val="Footer"/>
    </w:pPr>
    <w:r>
      <w:rPr>
        <w:noProof/>
      </w:rPr>
      <mc:AlternateContent>
        <mc:Choice Requires="wps">
          <w:drawing>
            <wp:anchor distT="0" distB="0" distL="0" distR="0" simplePos="0" relativeHeight="251658240" behindDoc="0" locked="0" layoutInCell="1" allowOverlap="1" wp14:anchorId="4F1602CB" wp14:editId="0E6D5018">
              <wp:simplePos x="635" y="635"/>
              <wp:positionH relativeFrom="page">
                <wp:align>right</wp:align>
              </wp:positionH>
              <wp:positionV relativeFrom="page">
                <wp:align>bottom</wp:align>
              </wp:positionV>
              <wp:extent cx="1170305" cy="370205"/>
              <wp:effectExtent l="0" t="0" r="0" b="0"/>
              <wp:wrapNone/>
              <wp:docPr id="198955766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6663418" w14:textId="79E95CA0"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F1602CB"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" filled="f" stroked="f">
              <v:fill o:detectmouseclick="t"/>
              <v:textbox style="mso-fit-shape-to-text:t" inset="0,0,20pt,15pt">
                <w:txbxContent>
                  <w:p w14:paraId="66663418" w14:textId="79E95CA0" w:rsidR="00A7619F" w:rsidRPr="00A7619F" w:rsidRDefault="00A7619F" w:rsidP="00A7619F">
                    <w:pPr>
                      <w:spacing w:after="0"/>
                      <w:rPr>
                        <w:rFonts w:ascii="Aptos" w:eastAsia="Aptos" w:hAnsi="Aptos" w:cs="Aptos"/>
                        <w:noProof/>
                        <w:color w:val="000000"/>
                        <w:sz w:val="20"/>
                        <w:szCs w:val="20"/>
                      </w:rPr>
                    </w:pPr>
                    <w:r w:rsidRPr="00A7619F">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F8EA" w14:textId="77777777" w:rsidR="00C258FD" w:rsidRDefault="00C258FD" w:rsidP="00A7619F">
      <w:pPr>
        <w:spacing w:after="0" w:line="240" w:lineRule="auto"/>
      </w:pPr>
      <w:r>
        <w:separator/>
      </w:r>
    </w:p>
  </w:footnote>
  <w:footnote w:type="continuationSeparator" w:id="0">
    <w:p w14:paraId="6550422A" w14:textId="77777777" w:rsidR="00C258FD" w:rsidRDefault="00C258FD" w:rsidP="00A761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D7CDD"/>
    <w:multiLevelType w:val="multilevel"/>
    <w:tmpl w:val="FA24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7B7BBE"/>
    <w:multiLevelType w:val="multilevel"/>
    <w:tmpl w:val="DF5E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AB1BAB"/>
    <w:multiLevelType w:val="multilevel"/>
    <w:tmpl w:val="639E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125974"/>
    <w:multiLevelType w:val="multilevel"/>
    <w:tmpl w:val="1982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743C5B"/>
    <w:multiLevelType w:val="multilevel"/>
    <w:tmpl w:val="4560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2255FF"/>
    <w:multiLevelType w:val="multilevel"/>
    <w:tmpl w:val="D972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9951EA"/>
    <w:multiLevelType w:val="multilevel"/>
    <w:tmpl w:val="8DE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0525792">
    <w:abstractNumId w:val="5"/>
  </w:num>
  <w:num w:numId="2" w16cid:durableId="1925455023">
    <w:abstractNumId w:val="3"/>
  </w:num>
  <w:num w:numId="3" w16cid:durableId="813374565">
    <w:abstractNumId w:val="1"/>
  </w:num>
  <w:num w:numId="4" w16cid:durableId="199901532">
    <w:abstractNumId w:val="6"/>
  </w:num>
  <w:num w:numId="5" w16cid:durableId="403723088">
    <w:abstractNumId w:val="2"/>
  </w:num>
  <w:num w:numId="6" w16cid:durableId="981160038">
    <w:abstractNumId w:val="4"/>
  </w:num>
  <w:num w:numId="7" w16cid:durableId="849608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892"/>
    <w:rsid w:val="000B3BFA"/>
    <w:rsid w:val="00235397"/>
    <w:rsid w:val="002D72FC"/>
    <w:rsid w:val="002F4B08"/>
    <w:rsid w:val="00374C69"/>
    <w:rsid w:val="00377505"/>
    <w:rsid w:val="003A3447"/>
    <w:rsid w:val="003F3BC4"/>
    <w:rsid w:val="00427063"/>
    <w:rsid w:val="00471588"/>
    <w:rsid w:val="00495A1D"/>
    <w:rsid w:val="004F5F5F"/>
    <w:rsid w:val="00512410"/>
    <w:rsid w:val="005237F0"/>
    <w:rsid w:val="005627AA"/>
    <w:rsid w:val="005A1974"/>
    <w:rsid w:val="005A24B0"/>
    <w:rsid w:val="005E5DB6"/>
    <w:rsid w:val="006E622B"/>
    <w:rsid w:val="007026ED"/>
    <w:rsid w:val="007666A1"/>
    <w:rsid w:val="00790388"/>
    <w:rsid w:val="008318BF"/>
    <w:rsid w:val="009D1F47"/>
    <w:rsid w:val="00A44E52"/>
    <w:rsid w:val="00A7619F"/>
    <w:rsid w:val="00AF7A2E"/>
    <w:rsid w:val="00B6183F"/>
    <w:rsid w:val="00BE59CC"/>
    <w:rsid w:val="00C258FD"/>
    <w:rsid w:val="00C97790"/>
    <w:rsid w:val="00D0210F"/>
    <w:rsid w:val="00EA3892"/>
    <w:rsid w:val="00EC20FA"/>
    <w:rsid w:val="00F63290"/>
    <w:rsid w:val="00F916D5"/>
    <w:rsid w:val="00FB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C0911"/>
  <w15:chartTrackingRefBased/>
  <w15:docId w15:val="{DAC7A9FC-5B59-4808-B85C-FD3AF003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8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38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38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8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8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8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8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8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8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8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38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38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8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8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8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8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8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892"/>
    <w:rPr>
      <w:rFonts w:eastAsiaTheme="majorEastAsia" w:cstheme="majorBidi"/>
      <w:color w:val="272727" w:themeColor="text1" w:themeTint="D8"/>
    </w:rPr>
  </w:style>
  <w:style w:type="paragraph" w:styleId="Title">
    <w:name w:val="Title"/>
    <w:basedOn w:val="Normal"/>
    <w:next w:val="Normal"/>
    <w:link w:val="TitleChar"/>
    <w:uiPriority w:val="10"/>
    <w:qFormat/>
    <w:rsid w:val="00EA3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8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8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8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892"/>
    <w:pPr>
      <w:spacing w:before="160"/>
      <w:jc w:val="center"/>
    </w:pPr>
    <w:rPr>
      <w:i/>
      <w:iCs/>
      <w:color w:val="404040" w:themeColor="text1" w:themeTint="BF"/>
    </w:rPr>
  </w:style>
  <w:style w:type="character" w:customStyle="1" w:styleId="QuoteChar">
    <w:name w:val="Quote Char"/>
    <w:basedOn w:val="DefaultParagraphFont"/>
    <w:link w:val="Quote"/>
    <w:uiPriority w:val="29"/>
    <w:rsid w:val="00EA3892"/>
    <w:rPr>
      <w:i/>
      <w:iCs/>
      <w:color w:val="404040" w:themeColor="text1" w:themeTint="BF"/>
    </w:rPr>
  </w:style>
  <w:style w:type="paragraph" w:styleId="ListParagraph">
    <w:name w:val="List Paragraph"/>
    <w:basedOn w:val="Normal"/>
    <w:uiPriority w:val="34"/>
    <w:qFormat/>
    <w:rsid w:val="00EA3892"/>
    <w:pPr>
      <w:ind w:left="720"/>
      <w:contextualSpacing/>
    </w:pPr>
  </w:style>
  <w:style w:type="character" w:styleId="IntenseEmphasis">
    <w:name w:val="Intense Emphasis"/>
    <w:basedOn w:val="DefaultParagraphFont"/>
    <w:uiPriority w:val="21"/>
    <w:qFormat/>
    <w:rsid w:val="00EA3892"/>
    <w:rPr>
      <w:i/>
      <w:iCs/>
      <w:color w:val="0F4761" w:themeColor="accent1" w:themeShade="BF"/>
    </w:rPr>
  </w:style>
  <w:style w:type="paragraph" w:styleId="IntenseQuote">
    <w:name w:val="Intense Quote"/>
    <w:basedOn w:val="Normal"/>
    <w:next w:val="Normal"/>
    <w:link w:val="IntenseQuoteChar"/>
    <w:uiPriority w:val="30"/>
    <w:qFormat/>
    <w:rsid w:val="00EA38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892"/>
    <w:rPr>
      <w:i/>
      <w:iCs/>
      <w:color w:val="0F4761" w:themeColor="accent1" w:themeShade="BF"/>
    </w:rPr>
  </w:style>
  <w:style w:type="character" w:styleId="IntenseReference">
    <w:name w:val="Intense Reference"/>
    <w:basedOn w:val="DefaultParagraphFont"/>
    <w:uiPriority w:val="32"/>
    <w:qFormat/>
    <w:rsid w:val="00EA3892"/>
    <w:rPr>
      <w:b/>
      <w:bCs/>
      <w:smallCaps/>
      <w:color w:val="0F4761" w:themeColor="accent1" w:themeShade="BF"/>
      <w:spacing w:val="5"/>
    </w:rPr>
  </w:style>
  <w:style w:type="paragraph" w:styleId="Footer">
    <w:name w:val="footer"/>
    <w:basedOn w:val="Normal"/>
    <w:link w:val="FooterChar"/>
    <w:uiPriority w:val="99"/>
    <w:unhideWhenUsed/>
    <w:rsid w:val="00A76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1085</Words>
  <Characters>7360</Characters>
  <Application>Microsoft Office Word</Application>
  <DocSecurity>0</DocSecurity>
  <Lines>113</Lines>
  <Paragraphs>54</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Ali Khan</dc:creator>
  <cp:keywords/>
  <dc:description/>
  <cp:lastModifiedBy>Ibrahim Ali Khan</cp:lastModifiedBy>
  <cp:revision>16</cp:revision>
  <dcterms:created xsi:type="dcterms:W3CDTF">2026-08-20T19:49:00Z</dcterms:created>
  <dcterms:modified xsi:type="dcterms:W3CDTF">2026-08-20T21:03:00Z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76963da0,4b3e3c1b,baf7bc5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2026-08-20T20:04:23Z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6475fc7c-cdac-4654-87f8-fe3b61337eda</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