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3740B6" w14:textId="32A305CE" w:rsidR="004118C8" w:rsidRPr="008D022D" w:rsidRDefault="004118C8" w:rsidP="004118C8">
      <w:pPr>
        <w:jc w:val="center"/>
        <w:rPr>
          <w:b/>
          <w:caps/>
        </w:rPr>
      </w:pPr>
      <w:r w:rsidRPr="008D022D">
        <w:rPr>
          <w:b/>
          <w:caps/>
        </w:rPr>
        <w:t>The World Bank</w:t>
      </w:r>
      <w:r w:rsidRPr="008D022D">
        <w:rPr>
          <w:b/>
          <w:caps/>
        </w:rPr>
        <w:br/>
        <w:t>Terms of Reference</w:t>
      </w:r>
    </w:p>
    <w:p w14:paraId="4D9E53D0" w14:textId="77777777" w:rsidR="00142A21" w:rsidRPr="008D022D" w:rsidRDefault="00142A21" w:rsidP="004118C8">
      <w:pPr>
        <w:jc w:val="center"/>
        <w:rPr>
          <w:b/>
          <w:caps/>
        </w:rPr>
      </w:pPr>
    </w:p>
    <w:p w14:paraId="5FBA438F" w14:textId="2626508D" w:rsidR="004118C8" w:rsidRDefault="008D022D" w:rsidP="004118C8">
      <w:pPr>
        <w:spacing w:line="278" w:lineRule="auto"/>
        <w:jc w:val="center"/>
        <w:rPr>
          <w:rFonts w:eastAsia="Aptos"/>
          <w:b/>
          <w:bCs/>
        </w:rPr>
      </w:pPr>
      <w:r w:rsidRPr="008D022D">
        <w:rPr>
          <w:b/>
        </w:rPr>
        <w:t>Data collection, geospatial mapping and portfolio preparation</w:t>
      </w:r>
      <w:r w:rsidR="004118C8" w:rsidRPr="008D022D">
        <w:rPr>
          <w:b/>
        </w:rPr>
        <w:t xml:space="preserve"> </w:t>
      </w:r>
      <w:r w:rsidR="00F067F1">
        <w:rPr>
          <w:b/>
        </w:rPr>
        <w:t xml:space="preserve">for </w:t>
      </w:r>
      <w:r w:rsidR="004118C8" w:rsidRPr="008D022D">
        <w:rPr>
          <w:rFonts w:eastAsia="Aptos"/>
          <w:b/>
          <w:bCs/>
        </w:rPr>
        <w:t xml:space="preserve">the Regional Distributed Access </w:t>
      </w:r>
      <w:r w:rsidR="00D03C33">
        <w:rPr>
          <w:rFonts w:eastAsia="Aptos"/>
          <w:b/>
          <w:bCs/>
        </w:rPr>
        <w:t>Through</w:t>
      </w:r>
      <w:r w:rsidR="004118C8" w:rsidRPr="008D022D">
        <w:rPr>
          <w:rFonts w:eastAsia="Aptos"/>
          <w:b/>
          <w:bCs/>
        </w:rPr>
        <w:t xml:space="preserve"> Renewable Energy S</w:t>
      </w:r>
      <w:r w:rsidR="00D03C33">
        <w:rPr>
          <w:rFonts w:eastAsia="Aptos"/>
          <w:b/>
          <w:bCs/>
        </w:rPr>
        <w:t>olutions</w:t>
      </w:r>
      <w:r w:rsidR="004118C8" w:rsidRPr="008D022D">
        <w:rPr>
          <w:rFonts w:eastAsia="Aptos"/>
          <w:b/>
          <w:bCs/>
        </w:rPr>
        <w:t xml:space="preserve"> (DARES) Program</w:t>
      </w:r>
    </w:p>
    <w:p w14:paraId="2DDC7A17" w14:textId="77777777" w:rsidR="008D022D" w:rsidRPr="008D022D" w:rsidRDefault="008D022D" w:rsidP="004118C8">
      <w:pPr>
        <w:spacing w:line="278" w:lineRule="auto"/>
        <w:jc w:val="center"/>
      </w:pPr>
    </w:p>
    <w:p w14:paraId="07BE9CB2" w14:textId="77777777" w:rsidR="004118C8" w:rsidRPr="008D022D" w:rsidRDefault="004118C8" w:rsidP="004118C8">
      <w:pPr>
        <w:jc w:val="both"/>
        <w:rPr>
          <w:b/>
          <w:u w:val="single"/>
        </w:rPr>
      </w:pPr>
    </w:p>
    <w:p w14:paraId="368E00AD" w14:textId="02AF8099" w:rsidR="004118C8" w:rsidRPr="008D022D" w:rsidRDefault="004118C8" w:rsidP="004118C8">
      <w:pPr>
        <w:jc w:val="both"/>
        <w:rPr>
          <w:b/>
        </w:rPr>
      </w:pPr>
      <w:r w:rsidRPr="008D022D">
        <w:rPr>
          <w:b/>
        </w:rPr>
        <w:t xml:space="preserve">I. </w:t>
      </w:r>
      <w:r w:rsidR="00E66EB2">
        <w:rPr>
          <w:b/>
        </w:rPr>
        <w:t>Background</w:t>
      </w:r>
    </w:p>
    <w:p w14:paraId="22EDC147" w14:textId="77777777" w:rsidR="008D022D" w:rsidRDefault="008D022D" w:rsidP="004118C8">
      <w:pPr>
        <w:spacing w:line="278" w:lineRule="auto"/>
        <w:jc w:val="both"/>
        <w:rPr>
          <w:rFonts w:eastAsia="Aptos"/>
        </w:rPr>
      </w:pPr>
    </w:p>
    <w:p w14:paraId="00BCC68A" w14:textId="50E60229" w:rsidR="004118C8" w:rsidRPr="008D022D" w:rsidRDefault="004118C8" w:rsidP="004118C8">
      <w:pPr>
        <w:spacing w:line="278" w:lineRule="auto"/>
        <w:jc w:val="both"/>
      </w:pPr>
      <w:r w:rsidRPr="008D022D">
        <w:rPr>
          <w:rFonts w:eastAsia="Aptos"/>
        </w:rPr>
        <w:t xml:space="preserve">Western and Central Africa (AFW) is home to about half a billion people, encompassing 22 countries that are rich in resources and brimming with opportunities. The region has made significant progress in regional cooperation and includes two monetary unions - the West African Economic and Monetary Union (WAEMU) and the Central African Economic and Monetary Community (CEMAC), which cover 13 countries between them. Yet these vast opportunities are tempered by persistent gaps in education, health, and skills. Moreover, conflict, food insecurity, population growth, and the disruptive forces of climate change threaten to curtail or even reverse the progress that has been made over the past decades. </w:t>
      </w:r>
    </w:p>
    <w:p w14:paraId="5B10EEA0" w14:textId="77777777" w:rsidR="008D022D" w:rsidRDefault="008D022D" w:rsidP="004118C8">
      <w:pPr>
        <w:spacing w:line="278" w:lineRule="auto"/>
        <w:jc w:val="both"/>
        <w:rPr>
          <w:rFonts w:eastAsia="Aptos"/>
        </w:rPr>
      </w:pPr>
    </w:p>
    <w:p w14:paraId="65195FDE" w14:textId="3217EDF7" w:rsidR="004118C8" w:rsidRPr="008D022D" w:rsidRDefault="004118C8" w:rsidP="004118C8">
      <w:pPr>
        <w:spacing w:line="278" w:lineRule="auto"/>
        <w:jc w:val="both"/>
      </w:pPr>
      <w:r w:rsidRPr="008D022D">
        <w:rPr>
          <w:rFonts w:eastAsia="Aptos"/>
        </w:rPr>
        <w:t xml:space="preserve">The region is at a pivotal moment in its economic development as countries make efforts to make up for ground lost because of recent global developments. Even before the COVID-19 pandemic, GDP growth rate in Sub-Saharan Africa was sluggish, and progress in reducing the number of people living in extreme poverty had stalled because of a global slowdown in growth and trade. Starting in 2020, the overlapping global crises of the COVID-19 pandemic, the war in Ukraine, and the associated disruptions in supply chains, economic activity, and rise in food and fuel prices resulted in economic contraction, increase in unemployment, and a large reversal in the progress made in poverty reduction in the region over the previous two decades. </w:t>
      </w:r>
    </w:p>
    <w:p w14:paraId="283D40A7" w14:textId="77777777" w:rsidR="008D022D" w:rsidRDefault="008D022D" w:rsidP="004118C8">
      <w:pPr>
        <w:spacing w:line="278" w:lineRule="auto"/>
        <w:jc w:val="both"/>
        <w:rPr>
          <w:rFonts w:eastAsia="Aptos"/>
        </w:rPr>
      </w:pPr>
    </w:p>
    <w:p w14:paraId="197FA949" w14:textId="0C6560BF" w:rsidR="004118C8" w:rsidRPr="008D022D" w:rsidRDefault="004118C8" w:rsidP="004118C8">
      <w:pPr>
        <w:spacing w:line="278" w:lineRule="auto"/>
        <w:jc w:val="both"/>
      </w:pPr>
      <w:r w:rsidRPr="008D022D">
        <w:rPr>
          <w:rFonts w:eastAsia="Aptos"/>
        </w:rPr>
        <w:t xml:space="preserve">Per capita income and energy consumption in AFW countries continue to remain among the lowest in the world, which makes them particularly vulnerable to shocks and imposes significant costs on social welfare. Low energy access levels also pose a fundamental barrier to economic upgrading, diversification and growth. There is increasing recognition that achieving universal access to clean, affordable and modern energy sources is a fundamental prerequisite to achieving human development. </w:t>
      </w:r>
    </w:p>
    <w:p w14:paraId="746DC47D" w14:textId="77777777" w:rsidR="008D022D" w:rsidRDefault="008D022D" w:rsidP="004118C8">
      <w:pPr>
        <w:spacing w:line="278" w:lineRule="auto"/>
        <w:jc w:val="both"/>
        <w:rPr>
          <w:rFonts w:eastAsia="Aptos"/>
        </w:rPr>
      </w:pPr>
    </w:p>
    <w:p w14:paraId="518E0818" w14:textId="095A9E0B" w:rsidR="004118C8" w:rsidRPr="008D022D" w:rsidRDefault="004118C8" w:rsidP="004118C8">
      <w:pPr>
        <w:spacing w:line="278" w:lineRule="auto"/>
        <w:jc w:val="both"/>
        <w:rPr>
          <w:rFonts w:eastAsia="Aptos"/>
        </w:rPr>
      </w:pPr>
      <w:r w:rsidRPr="008D022D">
        <w:rPr>
          <w:rFonts w:eastAsia="Aptos"/>
        </w:rPr>
        <w:t xml:space="preserve">Current projections show that, under a business-as-usual scenario, over 560 million people in sub-Saharan Africa will remain without access in 2030, more than half of which are estimated to be in West and Central Africa. </w:t>
      </w:r>
      <w:r w:rsidRPr="008D022D">
        <w:t>Recognizing the urgency of addressing this issue, there is an increasing emphasis on mobilizing public and private resources toward infrastructure for energy access in Sub-Saharan Africa. For example, in July 2022, the Dakar Call to Action by African Heads of State recognized the importance of “providing electricity to an additional 85 million people per year over the next eight years, which will need an unprecedented mobilization of public and private investment”. Subsequently, in April 2024, the World Bank Group and African Development Bank Group announced the ambitious goal of providing at least 300 million people in Africa with electricity access by 2030, of which around 100 million will be in AFW.</w:t>
      </w:r>
    </w:p>
    <w:p w14:paraId="780C56A8" w14:textId="77777777" w:rsidR="008D022D" w:rsidRDefault="008D022D" w:rsidP="004118C8">
      <w:pPr>
        <w:spacing w:line="278" w:lineRule="auto"/>
        <w:jc w:val="both"/>
        <w:rPr>
          <w:rFonts w:eastAsia="Aptos"/>
        </w:rPr>
      </w:pPr>
    </w:p>
    <w:p w14:paraId="50D971DC" w14:textId="17C1920A" w:rsidR="004118C8" w:rsidRPr="008D022D" w:rsidRDefault="004118C8" w:rsidP="004118C8">
      <w:pPr>
        <w:spacing w:line="278" w:lineRule="auto"/>
        <w:jc w:val="both"/>
      </w:pPr>
      <w:r w:rsidRPr="008D022D">
        <w:rPr>
          <w:rFonts w:eastAsia="Aptos"/>
        </w:rPr>
        <w:t xml:space="preserve">Distributed renewable energy (DRE) sources, such as mini grids, mesh grids and standalone solar applications, are a “right-now” solution. They offer a fast, flexible, and cost-effective way to provide energy access to underserved communities. In many West and Central African countries, where grid-based electricity services are still unreliable and inefficient and state-owned utilities are in too fragile of a financial and operational state to lead large-scale access extension programs, the private sector, with the right support, is poised to succeed. </w:t>
      </w:r>
    </w:p>
    <w:p w14:paraId="45A2F5EE" w14:textId="77777777" w:rsidR="008D022D" w:rsidRDefault="008D022D" w:rsidP="004118C8">
      <w:pPr>
        <w:pBdr>
          <w:top w:val="nil"/>
          <w:left w:val="nil"/>
          <w:bottom w:val="nil"/>
          <w:right w:val="nil"/>
          <w:between w:val="nil"/>
        </w:pBdr>
        <w:jc w:val="both"/>
        <w:rPr>
          <w:rFonts w:eastAsia="Aptos"/>
        </w:rPr>
      </w:pPr>
    </w:p>
    <w:p w14:paraId="40F1E967" w14:textId="4FD55176" w:rsidR="004118C8" w:rsidRPr="008D022D" w:rsidRDefault="004118C8" w:rsidP="004118C8">
      <w:pPr>
        <w:pBdr>
          <w:top w:val="nil"/>
          <w:left w:val="nil"/>
          <w:bottom w:val="nil"/>
          <w:right w:val="nil"/>
          <w:between w:val="nil"/>
        </w:pBdr>
        <w:jc w:val="both"/>
      </w:pPr>
      <w:r w:rsidRPr="008D022D">
        <w:rPr>
          <w:rFonts w:eastAsia="Aptos"/>
        </w:rPr>
        <w:t>Given the high geographical concentration of the West and Central African electricity access gap, donors and development finance institutions have thus far primarily focused their electricity access strategies on “country-by-country” engagements aimed at maximizing impact by broadening and deepening access agendas at the national level. Albeit often sluggish, this strategy has yielded progress in some of the larger client countries that have already succeeded in attracting private sector investment in their Distributed Renewable Energy (DRE) markets. However, these country-level approaches have failed the region's smaller and more fragile nations, most of which have so far been overlooked by the leading international DRE players. Therefore, the World Bank is committed to lead the simultaneous roll-out of innovative regional DRE scale-up approaches specifically targeted at driving DRE market growth across a much wider range of West and Central Africa’s smaller and fragility-affected countries.</w:t>
      </w:r>
    </w:p>
    <w:p w14:paraId="253726B9" w14:textId="77777777" w:rsidR="008D022D" w:rsidRDefault="008D022D" w:rsidP="004118C8">
      <w:pPr>
        <w:jc w:val="both"/>
        <w:rPr>
          <w:b/>
        </w:rPr>
      </w:pPr>
    </w:p>
    <w:p w14:paraId="1B93DE26" w14:textId="7E4481DE" w:rsidR="004118C8" w:rsidRPr="008D022D" w:rsidRDefault="004118C8" w:rsidP="004118C8">
      <w:pPr>
        <w:jc w:val="both"/>
        <w:rPr>
          <w:b/>
        </w:rPr>
      </w:pPr>
      <w:r w:rsidRPr="008D022D">
        <w:rPr>
          <w:b/>
        </w:rPr>
        <w:t>II. Objectives</w:t>
      </w:r>
    </w:p>
    <w:p w14:paraId="717CFDB5" w14:textId="77777777" w:rsidR="007855EB" w:rsidRDefault="007855EB" w:rsidP="004118C8">
      <w:pPr>
        <w:spacing w:line="278" w:lineRule="auto"/>
        <w:jc w:val="both"/>
        <w:rPr>
          <w:rFonts w:eastAsia="Aptos"/>
        </w:rPr>
      </w:pPr>
    </w:p>
    <w:p w14:paraId="12BE2775" w14:textId="6D18F507" w:rsidR="004118C8" w:rsidRPr="008D022D" w:rsidRDefault="004118C8" w:rsidP="004118C8">
      <w:pPr>
        <w:spacing w:line="278" w:lineRule="auto"/>
        <w:jc w:val="both"/>
        <w:rPr>
          <w:rFonts w:eastAsia="Aptos"/>
        </w:rPr>
      </w:pPr>
      <w:r w:rsidRPr="008D022D">
        <w:rPr>
          <w:rFonts w:eastAsia="Aptos"/>
        </w:rPr>
        <w:t>Within the above context, the World Bank is preparing the US$450 million first phase of a new Regional “Multiphase Programmatic Approach (MPA)” program coined “Regional Distributed Access to Renewable Energy Services” (or “Regional DARES”/“the Program”). The proposed program aims to provide up to 10 million West and Central Africans with access to electricity by aggressively scaling innovative cross-country market aggregation and procurement approaches to accelerate DRE market growth across the smaller and more fragile AFW countries, thereby supporting broader efforts to achieve the Mission 300 goal of providing electricity to 300 million people by 2030.</w:t>
      </w:r>
    </w:p>
    <w:p w14:paraId="11D1B62F" w14:textId="77777777" w:rsidR="007855EB" w:rsidRDefault="007855EB" w:rsidP="004118C8">
      <w:pPr>
        <w:spacing w:line="278" w:lineRule="auto"/>
        <w:jc w:val="both"/>
        <w:rPr>
          <w:rFonts w:eastAsia="Aptos"/>
        </w:rPr>
      </w:pPr>
    </w:p>
    <w:p w14:paraId="23FC6A34" w14:textId="631E05CF" w:rsidR="004118C8" w:rsidRDefault="004118C8" w:rsidP="004118C8">
      <w:pPr>
        <w:spacing w:line="278" w:lineRule="auto"/>
        <w:jc w:val="both"/>
        <w:rPr>
          <w:rFonts w:eastAsia="Aptos"/>
        </w:rPr>
      </w:pPr>
      <w:r w:rsidRPr="008D022D">
        <w:rPr>
          <w:rFonts w:eastAsia="Aptos"/>
        </w:rPr>
        <w:t>The proposed regional program will accelerate DRE market growth in the 3 most critical segments, namely: (i) serving households and MSME customers, (ii) powering productive use (PUE) DRE solutions for enhanced food security (incl. irrigation, cooling and agri-processing), and (iii) providing electricity for critical human capital-related public services (incl. rural health centers and schools). A fourth pillar will focus on aligning policies and regulatory frameworks and building capacities in the countries (REAs, regulators etc.). The program will have the following key features:</w:t>
      </w:r>
    </w:p>
    <w:p w14:paraId="7E7311C2" w14:textId="77777777" w:rsidR="007855EB" w:rsidRPr="008D022D" w:rsidRDefault="007855EB" w:rsidP="004118C8">
      <w:pPr>
        <w:spacing w:line="278" w:lineRule="auto"/>
        <w:jc w:val="both"/>
        <w:rPr>
          <w:rFonts w:eastAsia="Aptos"/>
        </w:rPr>
      </w:pPr>
    </w:p>
    <w:p w14:paraId="2583174C" w14:textId="77777777" w:rsidR="004118C8" w:rsidRPr="008D022D" w:rsidRDefault="004118C8" w:rsidP="004118C8">
      <w:pPr>
        <w:pStyle w:val="ListParagraph"/>
        <w:numPr>
          <w:ilvl w:val="0"/>
          <w:numId w:val="15"/>
        </w:numPr>
        <w:spacing w:after="160" w:line="278" w:lineRule="auto"/>
        <w:ind w:left="360"/>
        <w:contextualSpacing w:val="0"/>
        <w:jc w:val="both"/>
        <w:rPr>
          <w:rFonts w:eastAsia="Aptos"/>
        </w:rPr>
      </w:pPr>
      <w:r w:rsidRPr="008D022D">
        <w:rPr>
          <w:rFonts w:eastAsia="Aptos"/>
          <w:b/>
          <w:bCs/>
        </w:rPr>
        <w:t>Capitalizing on the World Bank’s existing collaborative platforms:</w:t>
      </w:r>
      <w:r w:rsidRPr="008D022D">
        <w:rPr>
          <w:rFonts w:eastAsia="Aptos"/>
        </w:rPr>
        <w:t xml:space="preserve"> The program will build on the </w:t>
      </w:r>
      <w:r w:rsidRPr="008D022D">
        <w:rPr>
          <w:rFonts w:eastAsia="Aptos"/>
          <w:b/>
          <w:bCs/>
        </w:rPr>
        <w:t>Distributed Access through Renewable Energy Scale-Up (DARES)</w:t>
      </w:r>
      <w:r w:rsidRPr="008D022D">
        <w:rPr>
          <w:rFonts w:eastAsia="Aptos"/>
        </w:rPr>
        <w:t xml:space="preserve"> platform, which is a World Bank Group initiative launched in November 2022 to accelerate electrification in Sub-Saharan Africa. DARES aims to promote private investment in distributed renewable energy (DRE) systems to achieve universal electricity access by 2030. The platform leverages </w:t>
      </w:r>
      <w:r w:rsidRPr="008D022D">
        <w:rPr>
          <w:rFonts w:eastAsia="Aptos"/>
        </w:rPr>
        <w:lastRenderedPageBreak/>
        <w:t>expertise from the World Bank, MIGA, and IFC to develop innovative financial and de-risking instruments, provide technical assistance, and address barriers to private sector participation in the DRE sector.</w:t>
      </w:r>
    </w:p>
    <w:p w14:paraId="3121803F" w14:textId="77777777" w:rsidR="004118C8" w:rsidRDefault="004118C8" w:rsidP="004118C8">
      <w:pPr>
        <w:pStyle w:val="ListParagraph"/>
        <w:spacing w:line="278" w:lineRule="auto"/>
        <w:ind w:left="360"/>
        <w:contextualSpacing w:val="0"/>
        <w:jc w:val="both"/>
        <w:rPr>
          <w:rFonts w:eastAsia="Aptos"/>
        </w:rPr>
      </w:pPr>
      <w:r w:rsidRPr="008D022D">
        <w:rPr>
          <w:rFonts w:eastAsia="Aptos"/>
        </w:rPr>
        <w:t xml:space="preserve">Furthermore, the regional DARES program will benefit from the streamlined project and country support, private sector finance mobilization, best practices and collaborative approach to electrification in Africa driven by the </w:t>
      </w:r>
      <w:r w:rsidRPr="008D022D">
        <w:rPr>
          <w:rFonts w:eastAsia="Aptos"/>
          <w:b/>
          <w:bCs/>
        </w:rPr>
        <w:t>Mission 300 Joint Working Group</w:t>
      </w:r>
      <w:r w:rsidRPr="008D022D">
        <w:rPr>
          <w:rFonts w:eastAsia="Aptos"/>
        </w:rPr>
        <w:t>, which consists of the World Bank Group (WBG), African Development Bank (AfDB), Global Energy Alliance for People and Planet (GEAPP), Sustainable Energy for All (SEforALL) and the Rockefeller Foundation.</w:t>
      </w:r>
    </w:p>
    <w:p w14:paraId="201E0946" w14:textId="77777777" w:rsidR="007855EB" w:rsidRPr="007855EB" w:rsidRDefault="007855EB" w:rsidP="007855EB">
      <w:pPr>
        <w:spacing w:line="278" w:lineRule="auto"/>
        <w:jc w:val="both"/>
        <w:rPr>
          <w:rFonts w:eastAsia="Aptos"/>
        </w:rPr>
      </w:pPr>
    </w:p>
    <w:p w14:paraId="6D41CF38" w14:textId="77777777" w:rsidR="004118C8" w:rsidRPr="008D022D" w:rsidRDefault="004118C8" w:rsidP="004118C8">
      <w:pPr>
        <w:pStyle w:val="ListParagraph"/>
        <w:numPr>
          <w:ilvl w:val="0"/>
          <w:numId w:val="15"/>
        </w:numPr>
        <w:spacing w:after="160" w:line="278" w:lineRule="auto"/>
        <w:ind w:left="360"/>
        <w:contextualSpacing w:val="0"/>
        <w:jc w:val="both"/>
      </w:pPr>
      <w:r w:rsidRPr="008D022D">
        <w:rPr>
          <w:rFonts w:eastAsia="Aptos"/>
          <w:b/>
          <w:bCs/>
        </w:rPr>
        <w:t>Facilitating regional collaboration and aggregation:</w:t>
      </w:r>
      <w:r w:rsidRPr="008D022D">
        <w:rPr>
          <w:rFonts w:eastAsia="Aptos"/>
        </w:rPr>
        <w:t xml:space="preserve"> Many countries in the region lack the institutional capacity to replicate large-scale national DRE initiatives like those in Nigeria. A regional approach can help aggregate country-level access agendas, creating a larger market that attracts private investment. By leveraging centralized procurement models, coordinating efforts and aligning regulatory frameworks across the region, the World Bank team aims to support the countries in reducing transaction costs, maximizing economies of scale, aggressively driving scale and speed, and making these markets more appealing to large DRE operators.</w:t>
      </w:r>
    </w:p>
    <w:p w14:paraId="10B78B7C" w14:textId="77777777" w:rsidR="004118C8" w:rsidRDefault="004118C8" w:rsidP="004118C8">
      <w:pPr>
        <w:pStyle w:val="ListParagraph"/>
        <w:spacing w:line="278" w:lineRule="auto"/>
        <w:ind w:left="360"/>
        <w:contextualSpacing w:val="0"/>
        <w:jc w:val="both"/>
        <w:rPr>
          <w:rFonts w:eastAsia="Aptos"/>
        </w:rPr>
      </w:pPr>
      <w:r w:rsidRPr="008D022D">
        <w:rPr>
          <w:rFonts w:eastAsia="Aptos"/>
        </w:rPr>
        <w:t xml:space="preserve">To do so, the program will replicate and extend the approach taken by the </w:t>
      </w:r>
      <w:r w:rsidRPr="008D022D">
        <w:rPr>
          <w:rFonts w:eastAsia="Aptos"/>
          <w:b/>
          <w:bCs/>
        </w:rPr>
        <w:t>Regional Emergency Solar Power Intervention Project (RESPITE)</w:t>
      </w:r>
      <w:r w:rsidRPr="008D022D">
        <w:rPr>
          <w:rFonts w:eastAsia="Aptos"/>
        </w:rPr>
        <w:t>, which is a $311 million initiative approved in December 2022 to rapidly increase grid-connected renewable energy capacity and strengthen regional integration in Chad, Liberia, Sierra Leone, and Togo.  RESPITE takes a unique approach of consolidated cross-country procurement of emergency renewable power generation, setting a new benchmark for competitive private sector deployment of renewables, encouraging leading international private developers West Africa’s smaller and more fragile economies. With 23 bids received in countries with no prior experience of utility-scale renewables procurement, and with per-MW prices revealed to be among the lowest ever achieved on the continent, RESPITE has had a very promising start. The World Bank now intends to replicate and extend the RESPITE approach into the DRE sector by leveraging its key innovations including the centralized procurement model and panel of experts.</w:t>
      </w:r>
    </w:p>
    <w:p w14:paraId="678E91DD" w14:textId="77777777" w:rsidR="007855EB" w:rsidRPr="008D022D" w:rsidRDefault="007855EB" w:rsidP="004118C8">
      <w:pPr>
        <w:pStyle w:val="ListParagraph"/>
        <w:spacing w:line="278" w:lineRule="auto"/>
        <w:ind w:left="360"/>
        <w:contextualSpacing w:val="0"/>
        <w:jc w:val="both"/>
        <w:rPr>
          <w:rFonts w:eastAsia="Aptos"/>
        </w:rPr>
      </w:pPr>
    </w:p>
    <w:p w14:paraId="6C6EDC80" w14:textId="77777777" w:rsidR="004118C8" w:rsidRPr="008D022D" w:rsidRDefault="004118C8" w:rsidP="004118C8">
      <w:pPr>
        <w:pStyle w:val="ListParagraph"/>
        <w:numPr>
          <w:ilvl w:val="0"/>
          <w:numId w:val="15"/>
        </w:numPr>
        <w:spacing w:after="160" w:line="278" w:lineRule="auto"/>
        <w:ind w:left="360"/>
        <w:contextualSpacing w:val="0"/>
        <w:jc w:val="both"/>
      </w:pPr>
      <w:r w:rsidRPr="008D022D">
        <w:rPr>
          <w:rFonts w:eastAsia="Aptos"/>
          <w:b/>
          <w:bCs/>
        </w:rPr>
        <w:t>Technology-agnostic tendering for DRE technologies:</w:t>
      </w:r>
      <w:r w:rsidRPr="008D022D">
        <w:rPr>
          <w:rFonts w:eastAsia="Aptos"/>
        </w:rPr>
        <w:t xml:space="preserve"> National-level least-cost electrification planning approaches typically divide countries into grid, mini-grid and off-grid areas. Imposing a single technology choice to deliver electricity access in a certain location in this way can overlook the more granular realities at the local/village level, leading to inefficient outcomes. For example, identifying a community as a mini-grid site and requiring the developer to provide connections to all households in the community can lead to oversizing and underutilization of assets. A more cost-efficient approach would be to provide mini-grid connections to the customers with relatively higher electricity consumption levels, while using appropriately sized off-grid systems to provide Tier 1 and Tier 2 access to households with low energy consumption. Thus, such an approach could result in lower capital expenditure, lower subsidy requirement, and lower tariffs. Thus, it is important to keep the end beneficiaries at the center while choosing technologies for electrification. By adopting a technology-</w:t>
      </w:r>
      <w:r w:rsidRPr="008D022D">
        <w:rPr>
          <w:rFonts w:eastAsia="Aptos"/>
        </w:rPr>
        <w:lastRenderedPageBreak/>
        <w:t>agnostic approach to DRE tendering, developers can have the freedom to customize solutions based on the customers’ needs based on a combination of mini-grids, off-grid systems and mesh grids. Rather than imposing a one-size-fits-all model, this model can encourage innovation, which will lead to lower costs and more efficient solutions by avoiding overspending or oversizing systems.</w:t>
      </w:r>
    </w:p>
    <w:p w14:paraId="740E0D23" w14:textId="77777777" w:rsidR="004118C8" w:rsidRPr="008D022D" w:rsidRDefault="004118C8" w:rsidP="004118C8">
      <w:pPr>
        <w:pStyle w:val="ListParagraph"/>
        <w:numPr>
          <w:ilvl w:val="0"/>
          <w:numId w:val="15"/>
        </w:numPr>
        <w:spacing w:after="160" w:line="278" w:lineRule="auto"/>
        <w:ind w:left="360"/>
        <w:jc w:val="both"/>
      </w:pPr>
      <w:r w:rsidRPr="008D022D">
        <w:rPr>
          <w:rFonts w:eastAsia="Aptos"/>
          <w:b/>
          <w:bCs/>
        </w:rPr>
        <w:t>“Free zone” DRE licensing regime:</w:t>
      </w:r>
      <w:r w:rsidRPr="008D022D">
        <w:t xml:space="preserve"> Awarding mini-grid concessions on a village-by-village basis can often be too slow to reach scale and attract large investments while suffering from excessive delays and transaction cost. Furthermore, the establishment of monopolistic (single operator, single technology, long-term) mini-grid concessions insulates operators from price-and innovation-based competition. These issues could potentially be addressed by establishing a more efficient and competitive multi-operator market scaling approach, in which license tenders are conducted for a large geographic areas encompassing multiple communities, awarding licenses to 3-4 DRE companies. These licensees would have exclusive access to guaranteed subsidies (for a limited period of 18 to 24 months), preferred access to WBG financial &amp; risk mitigation instruments (such as concessional  working capital, equity support, and payment guarantees for public institutions), and the flexibility to set their own tariffs. These benefits would be subject to compliance with minimum service levels, achievement of connection targets within a fixed time duration, and compliance with quality standards.</w:t>
      </w:r>
    </w:p>
    <w:p w14:paraId="5A1AF49E" w14:textId="77777777" w:rsidR="004118C8" w:rsidRPr="008D022D" w:rsidRDefault="004118C8" w:rsidP="004118C8">
      <w:pPr>
        <w:pStyle w:val="ListParagraph"/>
        <w:spacing w:line="278" w:lineRule="auto"/>
        <w:ind w:left="360"/>
        <w:jc w:val="both"/>
      </w:pPr>
    </w:p>
    <w:p w14:paraId="572749CF" w14:textId="77777777" w:rsidR="004118C8" w:rsidRPr="008D022D" w:rsidRDefault="004118C8" w:rsidP="004118C8">
      <w:pPr>
        <w:pStyle w:val="ListParagraph"/>
        <w:numPr>
          <w:ilvl w:val="0"/>
          <w:numId w:val="15"/>
        </w:numPr>
        <w:spacing w:after="160" w:line="278" w:lineRule="auto"/>
        <w:ind w:left="360"/>
        <w:jc w:val="both"/>
        <w:rPr>
          <w:rFonts w:eastAsia="Roboto"/>
        </w:rPr>
      </w:pPr>
      <w:r w:rsidRPr="008D022D">
        <w:rPr>
          <w:b/>
          <w:bCs/>
        </w:rPr>
        <w:t>Energy as a Service (EaaS) for public institutions:</w:t>
      </w:r>
      <w:r w:rsidRPr="008D022D">
        <w:t xml:space="preserve"> </w:t>
      </w:r>
      <w:r w:rsidRPr="008D022D">
        <w:rPr>
          <w:rFonts w:eastAsia="Roboto"/>
        </w:rPr>
        <w:t>The electrification rate of public institutions such as healthcare centers and schools is extremely low; when electricity is available, it is often unreliable, hindering progress in key human development outcomes. Previous approaches toward electrification of public facilities have used an EPC model in which the government procures the installation of solar systems, whose costs are entirely provided by grants, and is then responsible for system operations and maintenance (O&amp;M). However, unclear responsibility allocation, insufficient budgeting, and lengthy public procurement processes hinder an efficient O&amp;M process, resulting in solar systems malfunctioning over just a few years.</w:t>
      </w:r>
    </w:p>
    <w:p w14:paraId="19476012" w14:textId="77777777" w:rsidR="004118C8" w:rsidRPr="008D022D" w:rsidRDefault="004118C8" w:rsidP="004118C8">
      <w:pPr>
        <w:pStyle w:val="ListParagraph"/>
      </w:pPr>
    </w:p>
    <w:p w14:paraId="4F46C41E" w14:textId="77777777" w:rsidR="00BA1FFB" w:rsidRPr="008D022D" w:rsidRDefault="004118C8" w:rsidP="004118C8">
      <w:pPr>
        <w:pStyle w:val="ListParagraph"/>
        <w:spacing w:line="278" w:lineRule="auto"/>
        <w:ind w:left="360"/>
        <w:jc w:val="both"/>
        <w:rPr>
          <w:rFonts w:eastAsia="Roboto"/>
        </w:rPr>
      </w:pPr>
      <w:r w:rsidRPr="008D022D">
        <w:rPr>
          <w:rFonts w:eastAsia="Roboto"/>
        </w:rPr>
        <w:t>Supporting standalone solar systems with long-term service contracts with private sector providers can help provide an affordable, reliable and sustainable solution for the supply of electricity to public institutions. This could involve government ministries competitively procuring energy service companies (ESCOs) for a long-term performance-based contract to provide reliable electricity service against fixed fees that covers all costs (capital, operation and maintenance, and replacement costs), with government payments contingent on meeting key performance indicators related to system uptime, available electricity, etc. Grants would be used to buy down the recurring fixed fees on the government side. Offtake and payment risk could be mitigated using derisking instruments such as payment security mechanisms, revolving payment guarantees, and breach of contract coverage.</w:t>
      </w:r>
    </w:p>
    <w:p w14:paraId="3CE3DF2B" w14:textId="77777777" w:rsidR="00BA1FFB" w:rsidRPr="008D022D" w:rsidRDefault="00BA1FFB" w:rsidP="004118C8">
      <w:pPr>
        <w:pStyle w:val="ListParagraph"/>
        <w:spacing w:line="278" w:lineRule="auto"/>
        <w:ind w:left="360"/>
        <w:jc w:val="both"/>
        <w:rPr>
          <w:rFonts w:eastAsia="Roboto"/>
        </w:rPr>
      </w:pPr>
    </w:p>
    <w:p w14:paraId="0304FAD4" w14:textId="180306DD" w:rsidR="00363004" w:rsidRPr="00363004" w:rsidRDefault="004118C8" w:rsidP="00363004">
      <w:pPr>
        <w:pStyle w:val="ListParagraph"/>
        <w:spacing w:line="278" w:lineRule="auto"/>
        <w:ind w:left="360"/>
        <w:jc w:val="both"/>
        <w:rPr>
          <w:rFonts w:eastAsiaTheme="minorEastAsia"/>
          <w:color w:val="000000" w:themeColor="text1"/>
          <w:lang w:val="en-US"/>
        </w:rPr>
      </w:pPr>
      <w:r w:rsidRPr="008D022D">
        <w:rPr>
          <w:rFonts w:eastAsia="Roboto"/>
        </w:rPr>
        <w:t xml:space="preserve">A key pre-requisite for the operationalization of these features is ensuring </w:t>
      </w:r>
      <w:r w:rsidR="006E47CB" w:rsidRPr="006E47CB">
        <w:rPr>
          <w:rFonts w:eastAsiaTheme="minorEastAsia"/>
          <w:color w:val="000000" w:themeColor="text1"/>
          <w:lang w:val="en-US"/>
        </w:rPr>
        <w:t>access to reliable electricity data.</w:t>
      </w:r>
      <w:r w:rsidR="00363004">
        <w:rPr>
          <w:rFonts w:eastAsiaTheme="minorEastAsia"/>
          <w:color w:val="000000" w:themeColor="text1"/>
          <w:lang w:val="en-US"/>
        </w:rPr>
        <w:t xml:space="preserve"> </w:t>
      </w:r>
      <w:r w:rsidR="00363004" w:rsidRPr="1CE5A3D7">
        <w:rPr>
          <w:rFonts w:eastAsiaTheme="minorEastAsia"/>
          <w:color w:val="000000" w:themeColor="text1"/>
          <w:lang w:val="en-US"/>
        </w:rPr>
        <w:t xml:space="preserve">In this context, the WBG aims to hire a Consulting firm to </w:t>
      </w:r>
      <w:r w:rsidR="00363004">
        <w:rPr>
          <w:rFonts w:eastAsiaTheme="minorEastAsia"/>
          <w:color w:val="000000" w:themeColor="text1"/>
          <w:lang w:val="en-US"/>
        </w:rPr>
        <w:t>carry out</w:t>
      </w:r>
      <w:r w:rsidR="00363004" w:rsidRPr="1CE5A3D7">
        <w:rPr>
          <w:rFonts w:eastAsiaTheme="minorEastAsia"/>
          <w:color w:val="000000" w:themeColor="text1"/>
          <w:lang w:val="en-US"/>
        </w:rPr>
        <w:t xml:space="preserve"> a </w:t>
      </w:r>
      <w:r w:rsidR="00363004" w:rsidRPr="1CE5A3D7">
        <w:rPr>
          <w:rFonts w:eastAsiaTheme="minorEastAsia"/>
          <w:color w:val="000000" w:themeColor="text1"/>
          <w:lang w:val="en-US"/>
        </w:rPr>
        <w:lastRenderedPageBreak/>
        <w:t>comprehensive</w:t>
      </w:r>
      <w:r w:rsidR="00363004">
        <w:rPr>
          <w:rFonts w:eastAsiaTheme="minorEastAsia"/>
          <w:color w:val="000000" w:themeColor="text1"/>
          <w:lang w:val="en-US"/>
        </w:rPr>
        <w:t xml:space="preserve"> data collection and analysis effort to aggregate, </w:t>
      </w:r>
      <w:r w:rsidR="00656878">
        <w:rPr>
          <w:rFonts w:eastAsiaTheme="minorEastAsia"/>
          <w:color w:val="000000" w:themeColor="text1"/>
          <w:lang w:val="en-US"/>
        </w:rPr>
        <w:t>consolidate and evaluate</w:t>
      </w:r>
      <w:r w:rsidR="00363004" w:rsidRPr="1CE5A3D7">
        <w:rPr>
          <w:rFonts w:eastAsiaTheme="minorEastAsia"/>
          <w:color w:val="000000" w:themeColor="text1"/>
          <w:lang w:val="en-US"/>
        </w:rPr>
        <w:t xml:space="preserve"> existing electricity data across the </w:t>
      </w:r>
      <w:r w:rsidR="00656878">
        <w:rPr>
          <w:rFonts w:eastAsiaTheme="minorEastAsia"/>
          <w:color w:val="000000" w:themeColor="text1"/>
          <w:lang w:val="en-US"/>
        </w:rPr>
        <w:t>countries covered by the project</w:t>
      </w:r>
      <w:r w:rsidR="00363004" w:rsidRPr="1CE5A3D7">
        <w:rPr>
          <w:rFonts w:eastAsiaTheme="minorEastAsia"/>
          <w:color w:val="000000" w:themeColor="text1"/>
          <w:lang w:val="en-US"/>
        </w:rPr>
        <w:t>,</w:t>
      </w:r>
      <w:r w:rsidR="00656878">
        <w:rPr>
          <w:rFonts w:eastAsiaTheme="minorEastAsia"/>
          <w:color w:val="000000" w:themeColor="text1"/>
          <w:lang w:val="en-US"/>
        </w:rPr>
        <w:t xml:space="preserve"> in support of the project design.</w:t>
      </w:r>
    </w:p>
    <w:p w14:paraId="3AAC6755" w14:textId="77777777" w:rsidR="00363004" w:rsidRPr="006E47CB" w:rsidRDefault="00363004" w:rsidP="006E47CB">
      <w:pPr>
        <w:pStyle w:val="ListParagraph"/>
        <w:spacing w:line="278" w:lineRule="auto"/>
        <w:ind w:left="360"/>
        <w:jc w:val="both"/>
        <w:rPr>
          <w:rFonts w:eastAsia="Roboto"/>
        </w:rPr>
      </w:pPr>
    </w:p>
    <w:p w14:paraId="74DBA60E" w14:textId="315DEE13" w:rsidR="00E66EB2" w:rsidRPr="00F467D0" w:rsidRDefault="00F467D0" w:rsidP="00F467D0">
      <w:pPr>
        <w:jc w:val="both"/>
        <w:rPr>
          <w:b/>
        </w:rPr>
      </w:pPr>
      <w:r w:rsidRPr="00F467D0">
        <w:rPr>
          <w:b/>
        </w:rPr>
        <w:t xml:space="preserve">III. </w:t>
      </w:r>
      <w:r w:rsidR="00E66EB2" w:rsidRPr="00F467D0">
        <w:rPr>
          <w:b/>
        </w:rPr>
        <w:t>SCOPE OF WORK</w:t>
      </w:r>
    </w:p>
    <w:p w14:paraId="5B9EBDD1" w14:textId="4F4A2013" w:rsidR="00973DF5" w:rsidRPr="008D022D" w:rsidRDefault="00F467D0" w:rsidP="00C0312D">
      <w:pPr>
        <w:spacing w:before="240" w:after="240"/>
        <w:jc w:val="both"/>
        <w:rPr>
          <w:lang w:val="en-US"/>
        </w:rPr>
      </w:pPr>
      <w:r>
        <w:rPr>
          <w:lang w:val="en-US"/>
        </w:rPr>
        <w:t>The selected consulting firm will be responsible for the following tasks:</w:t>
      </w:r>
    </w:p>
    <w:p w14:paraId="00000002" w14:textId="7CC98161" w:rsidR="001E0177" w:rsidRPr="008D022D" w:rsidRDefault="00C45A9D" w:rsidP="00C0312D">
      <w:pPr>
        <w:spacing w:before="240" w:after="240"/>
        <w:jc w:val="both"/>
      </w:pPr>
      <w:r w:rsidRPr="008D022D">
        <w:rPr>
          <w:lang w:val="en-US"/>
        </w:rPr>
        <w:t xml:space="preserve">(A) </w:t>
      </w:r>
      <w:r w:rsidRPr="008D022D">
        <w:rPr>
          <w:b/>
          <w:bCs/>
          <w:lang w:val="en-US"/>
        </w:rPr>
        <w:t xml:space="preserve">Prepare energy market related data for </w:t>
      </w:r>
      <w:r w:rsidR="00477899" w:rsidRPr="008D022D">
        <w:rPr>
          <w:b/>
          <w:bCs/>
          <w:lang w:val="en-US"/>
        </w:rPr>
        <w:t xml:space="preserve">Regional DARES </w:t>
      </w:r>
      <w:r w:rsidRPr="008D022D">
        <w:rPr>
          <w:b/>
          <w:bCs/>
          <w:lang w:val="en-US"/>
        </w:rPr>
        <w:t>countries</w:t>
      </w:r>
      <w:r w:rsidR="006420E8" w:rsidRPr="008D022D">
        <w:rPr>
          <w:rStyle w:val="FootnoteReference"/>
          <w:b/>
          <w:bCs/>
          <w:lang w:val="en-US"/>
        </w:rPr>
        <w:footnoteReference w:id="2"/>
      </w:r>
      <w:r w:rsidRPr="008D022D">
        <w:rPr>
          <w:b/>
          <w:bCs/>
          <w:lang w:val="en-US"/>
        </w:rPr>
        <w:t>:</w:t>
      </w:r>
      <w:r w:rsidRPr="008D022D">
        <w:rPr>
          <w:lang w:val="en-US"/>
        </w:rPr>
        <w:t xml:space="preserve"> In this task, the </w:t>
      </w:r>
      <w:r w:rsidR="00C0312D" w:rsidRPr="008D022D">
        <w:rPr>
          <w:lang w:val="en-US"/>
        </w:rPr>
        <w:t>C</w:t>
      </w:r>
      <w:r w:rsidRPr="008D022D">
        <w:rPr>
          <w:lang w:val="en-US"/>
        </w:rPr>
        <w:t xml:space="preserve">onsultant </w:t>
      </w:r>
      <w:r w:rsidR="00C0312D" w:rsidRPr="008D022D">
        <w:rPr>
          <w:lang w:val="en-US"/>
        </w:rPr>
        <w:t>shall</w:t>
      </w:r>
      <w:r w:rsidRPr="008D022D">
        <w:rPr>
          <w:lang w:val="en-US"/>
        </w:rPr>
        <w:t xml:space="preserve"> prepare a geospatial database </w:t>
      </w:r>
      <w:r w:rsidR="00C0312D" w:rsidRPr="008D022D">
        <w:rPr>
          <w:lang w:val="en-US"/>
        </w:rPr>
        <w:t>covering each of</w:t>
      </w:r>
      <w:r w:rsidRPr="008D022D">
        <w:rPr>
          <w:lang w:val="en-US"/>
        </w:rPr>
        <w:t xml:space="preserve"> the countries </w:t>
      </w:r>
      <w:r w:rsidR="007D71CD" w:rsidRPr="008D022D">
        <w:rPr>
          <w:lang w:val="en-US"/>
        </w:rPr>
        <w:t>participating in Regional DARES</w:t>
      </w:r>
      <w:r w:rsidR="00035847" w:rsidRPr="008D022D">
        <w:rPr>
          <w:lang w:val="en-US"/>
        </w:rPr>
        <w:t xml:space="preserve">, </w:t>
      </w:r>
      <w:r w:rsidR="00B324F1" w:rsidRPr="008D022D">
        <w:rPr>
          <w:lang w:val="en-US"/>
        </w:rPr>
        <w:t xml:space="preserve">which </w:t>
      </w:r>
      <w:r w:rsidR="00DE0D40" w:rsidRPr="008D022D">
        <w:rPr>
          <w:lang w:val="en-US"/>
        </w:rPr>
        <w:t>includes</w:t>
      </w:r>
      <w:r w:rsidR="00035847" w:rsidRPr="008D022D">
        <w:rPr>
          <w:lang w:val="en-US"/>
        </w:rPr>
        <w:t xml:space="preserve"> data</w:t>
      </w:r>
      <w:r w:rsidRPr="008D022D">
        <w:rPr>
          <w:lang w:val="en-US"/>
        </w:rPr>
        <w:t xml:space="preserve"> </w:t>
      </w:r>
      <w:r w:rsidR="003F57CA" w:rsidRPr="008D022D">
        <w:rPr>
          <w:lang w:val="en-US"/>
        </w:rPr>
        <w:t>pertaining to the current status,</w:t>
      </w:r>
      <w:r w:rsidRPr="008D022D">
        <w:rPr>
          <w:lang w:val="en-US"/>
        </w:rPr>
        <w:t xml:space="preserve"> potential</w:t>
      </w:r>
      <w:r w:rsidR="009277FA" w:rsidRPr="008D022D">
        <w:rPr>
          <w:lang w:val="en-US"/>
        </w:rPr>
        <w:t xml:space="preserve">, </w:t>
      </w:r>
      <w:r w:rsidR="006B6937" w:rsidRPr="008D022D">
        <w:rPr>
          <w:lang w:val="en-US"/>
        </w:rPr>
        <w:t>financial viability gap</w:t>
      </w:r>
      <w:r w:rsidRPr="008D022D">
        <w:rPr>
          <w:lang w:val="en-US"/>
        </w:rPr>
        <w:t xml:space="preserve"> </w:t>
      </w:r>
      <w:r w:rsidR="009C49DD" w:rsidRPr="008D022D">
        <w:rPr>
          <w:lang w:val="en-US"/>
        </w:rPr>
        <w:t xml:space="preserve">and </w:t>
      </w:r>
      <w:r w:rsidR="002B3F1F" w:rsidRPr="008D022D">
        <w:rPr>
          <w:lang w:val="en-US"/>
        </w:rPr>
        <w:t>potential support mechanisms</w:t>
      </w:r>
      <w:r w:rsidRPr="008D022D">
        <w:rPr>
          <w:lang w:val="en-US"/>
        </w:rPr>
        <w:t xml:space="preserve"> for Distributed Renewable Energy</w:t>
      </w:r>
      <w:r w:rsidR="00C0312D" w:rsidRPr="008D022D">
        <w:rPr>
          <w:lang w:val="en-US"/>
        </w:rPr>
        <w:t xml:space="preserve"> (DRE)-based</w:t>
      </w:r>
      <w:r w:rsidRPr="008D022D">
        <w:rPr>
          <w:lang w:val="en-US"/>
        </w:rPr>
        <w:t xml:space="preserve"> electrification. For this, the </w:t>
      </w:r>
      <w:r w:rsidR="00C0312D" w:rsidRPr="008D022D">
        <w:rPr>
          <w:lang w:val="en-US"/>
        </w:rPr>
        <w:t>C</w:t>
      </w:r>
      <w:r w:rsidRPr="008D022D">
        <w:rPr>
          <w:lang w:val="en-US"/>
        </w:rPr>
        <w:t xml:space="preserve">onsultant should use the </w:t>
      </w:r>
      <w:r w:rsidR="00C0312D" w:rsidRPr="008D022D">
        <w:rPr>
          <w:lang w:val="en-US"/>
        </w:rPr>
        <w:t xml:space="preserve">internal-facing </w:t>
      </w:r>
      <w:r w:rsidRPr="008D022D">
        <w:rPr>
          <w:lang w:val="en-US"/>
        </w:rPr>
        <w:t>M300</w:t>
      </w:r>
      <w:r w:rsidR="00C0312D" w:rsidRPr="008D022D">
        <w:rPr>
          <w:lang w:val="en-US"/>
        </w:rPr>
        <w:t>+</w:t>
      </w:r>
      <w:r w:rsidRPr="008D022D">
        <w:rPr>
          <w:lang w:val="en-US"/>
        </w:rPr>
        <w:t xml:space="preserve"> DRE platform as a base to integrate </w:t>
      </w:r>
      <w:r w:rsidR="00B41E22" w:rsidRPr="008D022D">
        <w:rPr>
          <w:lang w:val="en-US"/>
        </w:rPr>
        <w:t xml:space="preserve">geospatial </w:t>
      </w:r>
      <w:r w:rsidRPr="008D022D">
        <w:rPr>
          <w:lang w:val="en-US"/>
        </w:rPr>
        <w:t>datasets coming from the country and other sources</w:t>
      </w:r>
      <w:r w:rsidR="00386022" w:rsidRPr="008D022D">
        <w:rPr>
          <w:lang w:val="en-US"/>
        </w:rPr>
        <w:t>, including by liaising with other World Bank teams</w:t>
      </w:r>
      <w:r w:rsidRPr="008D022D">
        <w:rPr>
          <w:lang w:val="en-US"/>
        </w:rPr>
        <w:t>. Key datasets to include are as follows</w:t>
      </w:r>
      <w:r w:rsidR="00C0312D" w:rsidRPr="008D022D">
        <w:rPr>
          <w:lang w:val="en-US"/>
        </w:rPr>
        <w:t>:</w:t>
      </w:r>
    </w:p>
    <w:p w14:paraId="00000003" w14:textId="1F1EF491" w:rsidR="001E0177" w:rsidRPr="008D022D" w:rsidRDefault="00C45A9D" w:rsidP="009B1743">
      <w:pPr>
        <w:numPr>
          <w:ilvl w:val="0"/>
          <w:numId w:val="1"/>
        </w:numPr>
        <w:spacing w:before="240" w:after="240"/>
        <w:jc w:val="both"/>
      </w:pPr>
      <w:r w:rsidRPr="008D022D">
        <w:rPr>
          <w:lang w:val="en-US"/>
        </w:rPr>
        <w:t xml:space="preserve">Energy infrastructure and </w:t>
      </w:r>
      <w:r w:rsidR="008125BE" w:rsidRPr="008D022D">
        <w:rPr>
          <w:lang w:val="en-US"/>
        </w:rPr>
        <w:t>additional electrification</w:t>
      </w:r>
      <w:r w:rsidR="00F467D0">
        <w:rPr>
          <w:lang w:val="en-US"/>
        </w:rPr>
        <w:t>-</w:t>
      </w:r>
      <w:r w:rsidR="008125BE" w:rsidRPr="008D022D">
        <w:rPr>
          <w:lang w:val="en-US"/>
        </w:rPr>
        <w:t>related</w:t>
      </w:r>
      <w:r w:rsidRPr="008D022D">
        <w:rPr>
          <w:lang w:val="en-US"/>
        </w:rPr>
        <w:t xml:space="preserve"> data</w:t>
      </w:r>
      <w:r w:rsidR="00C0312D" w:rsidRPr="008D022D">
        <w:rPr>
          <w:lang w:val="en-US"/>
        </w:rPr>
        <w:t>:</w:t>
      </w:r>
    </w:p>
    <w:p w14:paraId="00000004" w14:textId="3D6317E5" w:rsidR="001E0177" w:rsidRPr="008D022D" w:rsidRDefault="00C45A9D" w:rsidP="009B1743">
      <w:pPr>
        <w:numPr>
          <w:ilvl w:val="1"/>
          <w:numId w:val="1"/>
        </w:numPr>
        <w:spacing w:after="240"/>
        <w:jc w:val="both"/>
      </w:pPr>
      <w:r w:rsidRPr="008D022D">
        <w:rPr>
          <w:lang w:val="en-US"/>
        </w:rPr>
        <w:t xml:space="preserve">For each </w:t>
      </w:r>
      <w:r w:rsidR="00C0312D" w:rsidRPr="008D022D">
        <w:rPr>
          <w:lang w:val="en-US"/>
        </w:rPr>
        <w:t>country</w:t>
      </w:r>
      <w:r w:rsidRPr="008D022D">
        <w:rPr>
          <w:lang w:val="en-US"/>
        </w:rPr>
        <w:t xml:space="preserve">, the </w:t>
      </w:r>
      <w:r w:rsidR="00C0312D" w:rsidRPr="008D022D">
        <w:rPr>
          <w:lang w:val="en-US"/>
        </w:rPr>
        <w:t>C</w:t>
      </w:r>
      <w:r w:rsidRPr="008D022D">
        <w:rPr>
          <w:lang w:val="en-US"/>
        </w:rPr>
        <w:t>onsultant should on-board the best available national electrification datasets</w:t>
      </w:r>
      <w:r w:rsidR="00AF0926" w:rsidRPr="008D022D">
        <w:rPr>
          <w:lang w:val="en-US"/>
        </w:rPr>
        <w:t>, working closely with World Bank Task Team Leaders (TTLs) and other consultants</w:t>
      </w:r>
      <w:r w:rsidR="00213BDC" w:rsidRPr="008D022D">
        <w:rPr>
          <w:lang w:val="en-US"/>
        </w:rPr>
        <w:t xml:space="preserve"> working on </w:t>
      </w:r>
      <w:r w:rsidR="0046756D" w:rsidRPr="008D022D">
        <w:rPr>
          <w:lang w:val="en-US"/>
        </w:rPr>
        <w:t xml:space="preserve">measurement </w:t>
      </w:r>
      <w:r w:rsidR="007A7F62" w:rsidRPr="008D022D">
        <w:rPr>
          <w:lang w:val="en-US"/>
        </w:rPr>
        <w:t>and tracking of electrification</w:t>
      </w:r>
      <w:r w:rsidR="00BD7BB3" w:rsidRPr="008D022D">
        <w:rPr>
          <w:lang w:val="en-US"/>
        </w:rPr>
        <w:t xml:space="preserve"> progress</w:t>
      </w:r>
      <w:r w:rsidRPr="008D022D">
        <w:rPr>
          <w:lang w:val="en-US"/>
        </w:rPr>
        <w:t xml:space="preserve">. </w:t>
      </w:r>
      <w:r w:rsidR="00592121" w:rsidRPr="008D022D">
        <w:rPr>
          <w:lang w:val="en-US"/>
        </w:rPr>
        <w:t xml:space="preserve">The </w:t>
      </w:r>
      <w:r w:rsidR="006F1D77" w:rsidRPr="008D022D">
        <w:rPr>
          <w:lang w:val="en-US"/>
        </w:rPr>
        <w:t xml:space="preserve">on-boarded </w:t>
      </w:r>
      <w:r w:rsidR="00C040D9" w:rsidRPr="008D022D">
        <w:rPr>
          <w:lang w:val="en-US"/>
        </w:rPr>
        <w:t xml:space="preserve">data </w:t>
      </w:r>
      <w:r w:rsidR="006F1D77" w:rsidRPr="008D022D">
        <w:rPr>
          <w:lang w:val="en-US"/>
        </w:rPr>
        <w:t>should include</w:t>
      </w:r>
      <w:r w:rsidR="00592121" w:rsidRPr="008D022D">
        <w:rPr>
          <w:lang w:val="en-US"/>
        </w:rPr>
        <w:t xml:space="preserve"> </w:t>
      </w:r>
      <w:r w:rsidR="008E1743" w:rsidRPr="008D022D">
        <w:rPr>
          <w:lang w:val="en-US"/>
        </w:rPr>
        <w:t xml:space="preserve">geospatial data on </w:t>
      </w:r>
      <w:r w:rsidR="0075257B" w:rsidRPr="008D022D">
        <w:rPr>
          <w:lang w:val="en-US"/>
        </w:rPr>
        <w:t>population</w:t>
      </w:r>
      <w:r w:rsidR="005149BA" w:rsidRPr="008D022D">
        <w:rPr>
          <w:lang w:val="en-US"/>
        </w:rPr>
        <w:t xml:space="preserve"> and</w:t>
      </w:r>
      <w:r w:rsidR="0075257B" w:rsidRPr="008D022D">
        <w:rPr>
          <w:lang w:val="en-US"/>
        </w:rPr>
        <w:t xml:space="preserve"> electrification status</w:t>
      </w:r>
      <w:r w:rsidR="0014046F" w:rsidRPr="008D022D">
        <w:rPr>
          <w:lang w:val="en-US"/>
        </w:rPr>
        <w:t>,</w:t>
      </w:r>
      <w:r w:rsidR="0075257B" w:rsidRPr="008D022D">
        <w:rPr>
          <w:lang w:val="en-US"/>
        </w:rPr>
        <w:t xml:space="preserve"> disaggregated by technology</w:t>
      </w:r>
      <w:r w:rsidR="005149BA" w:rsidRPr="008D022D">
        <w:rPr>
          <w:lang w:val="en-US"/>
        </w:rPr>
        <w:t>.</w:t>
      </w:r>
      <w:r w:rsidRPr="008D022D">
        <w:rPr>
          <w:lang w:val="en-US"/>
        </w:rPr>
        <w:t xml:space="preserve"> </w:t>
      </w:r>
      <w:r w:rsidR="00C0312D" w:rsidRPr="008D022D">
        <w:rPr>
          <w:lang w:val="en-US"/>
        </w:rPr>
        <w:t>T</w:t>
      </w:r>
      <w:r w:rsidRPr="008D022D">
        <w:rPr>
          <w:lang w:val="en-US"/>
        </w:rPr>
        <w:t xml:space="preserve">his is </w:t>
      </w:r>
      <w:r w:rsidR="00C0312D" w:rsidRPr="008D022D">
        <w:rPr>
          <w:lang w:val="en-US"/>
        </w:rPr>
        <w:t xml:space="preserve">particularly </w:t>
      </w:r>
      <w:r w:rsidRPr="008D022D">
        <w:rPr>
          <w:lang w:val="en-US"/>
        </w:rPr>
        <w:t xml:space="preserve">critical in </w:t>
      </w:r>
      <w:r w:rsidR="00C0312D" w:rsidRPr="008D022D">
        <w:rPr>
          <w:lang w:val="en-US"/>
        </w:rPr>
        <w:t xml:space="preserve">certain </w:t>
      </w:r>
      <w:r w:rsidRPr="008D022D">
        <w:rPr>
          <w:lang w:val="en-US"/>
        </w:rPr>
        <w:t>countries such as Mauritania</w:t>
      </w:r>
      <w:r w:rsidR="008125BE" w:rsidRPr="008D022D">
        <w:rPr>
          <w:lang w:val="en-US"/>
        </w:rPr>
        <w:t xml:space="preserve"> and</w:t>
      </w:r>
      <w:r w:rsidRPr="008D022D">
        <w:rPr>
          <w:lang w:val="en-US"/>
        </w:rPr>
        <w:t xml:space="preserve"> </w:t>
      </w:r>
      <w:r w:rsidR="00C0312D" w:rsidRPr="008D022D">
        <w:rPr>
          <w:lang w:val="en-US"/>
        </w:rPr>
        <w:t xml:space="preserve">the </w:t>
      </w:r>
      <w:r w:rsidRPr="008D022D">
        <w:rPr>
          <w:lang w:val="en-US"/>
        </w:rPr>
        <w:t>C</w:t>
      </w:r>
      <w:r w:rsidR="00C0312D" w:rsidRPr="008D022D">
        <w:rPr>
          <w:lang w:val="en-US"/>
        </w:rPr>
        <w:t xml:space="preserve">entral </w:t>
      </w:r>
      <w:r w:rsidRPr="008D022D">
        <w:rPr>
          <w:lang w:val="en-US"/>
        </w:rPr>
        <w:t>A</w:t>
      </w:r>
      <w:r w:rsidR="00C0312D" w:rsidRPr="008D022D">
        <w:rPr>
          <w:lang w:val="en-US"/>
        </w:rPr>
        <w:t xml:space="preserve">frican </w:t>
      </w:r>
      <w:r w:rsidRPr="008D022D">
        <w:rPr>
          <w:lang w:val="en-US"/>
        </w:rPr>
        <w:t>R</w:t>
      </w:r>
      <w:r w:rsidR="00C0312D" w:rsidRPr="008D022D">
        <w:rPr>
          <w:lang w:val="en-US"/>
        </w:rPr>
        <w:t>epublic</w:t>
      </w:r>
      <w:r w:rsidR="008125BE" w:rsidRPr="008D022D">
        <w:rPr>
          <w:lang w:val="en-US"/>
        </w:rPr>
        <w:t>.</w:t>
      </w:r>
    </w:p>
    <w:p w14:paraId="00000005" w14:textId="189FAC3A" w:rsidR="001E0177" w:rsidRPr="008D022D" w:rsidRDefault="00C0312D">
      <w:pPr>
        <w:numPr>
          <w:ilvl w:val="1"/>
          <w:numId w:val="1"/>
        </w:numPr>
        <w:spacing w:after="240"/>
        <w:jc w:val="both"/>
        <w:rPr>
          <w:lang w:val="en-US"/>
        </w:rPr>
      </w:pPr>
      <w:r w:rsidRPr="008D022D">
        <w:rPr>
          <w:lang w:val="en-US"/>
        </w:rPr>
        <w:t>The Consultant shall i</w:t>
      </w:r>
      <w:r w:rsidR="00C45A9D" w:rsidRPr="008D022D">
        <w:rPr>
          <w:lang w:val="en-US"/>
        </w:rPr>
        <w:t>nclude</w:t>
      </w:r>
      <w:r w:rsidRPr="008D022D">
        <w:rPr>
          <w:lang w:val="en-US"/>
        </w:rPr>
        <w:t xml:space="preserve"> information on</w:t>
      </w:r>
      <w:r w:rsidR="00C45A9D" w:rsidRPr="008D022D">
        <w:rPr>
          <w:lang w:val="en-US"/>
        </w:rPr>
        <w:t xml:space="preserve"> </w:t>
      </w:r>
      <w:r w:rsidR="00CA328C" w:rsidRPr="008D022D">
        <w:rPr>
          <w:lang w:val="en-US"/>
        </w:rPr>
        <w:t xml:space="preserve">current status and expected deployment of </w:t>
      </w:r>
      <w:r w:rsidR="00543BDE" w:rsidRPr="008D022D">
        <w:rPr>
          <w:lang w:val="en-US"/>
        </w:rPr>
        <w:t xml:space="preserve">grid expansion </w:t>
      </w:r>
      <w:r w:rsidR="00CA328C" w:rsidRPr="008D022D">
        <w:rPr>
          <w:lang w:val="en-US"/>
        </w:rPr>
        <w:t xml:space="preserve">and </w:t>
      </w:r>
      <w:r w:rsidR="00E210AE" w:rsidRPr="008D022D">
        <w:rPr>
          <w:lang w:val="en-US"/>
        </w:rPr>
        <w:t>DRE technologies</w:t>
      </w:r>
      <w:r w:rsidR="00C45A9D" w:rsidRPr="008D022D">
        <w:rPr>
          <w:lang w:val="en-US"/>
        </w:rPr>
        <w:t xml:space="preserve"> in </w:t>
      </w:r>
      <w:r w:rsidRPr="008D022D">
        <w:rPr>
          <w:lang w:val="en-US"/>
        </w:rPr>
        <w:t>each of the countries</w:t>
      </w:r>
      <w:r w:rsidR="00C45A9D" w:rsidRPr="008D022D">
        <w:rPr>
          <w:lang w:val="en-US"/>
        </w:rPr>
        <w:t>.</w:t>
      </w:r>
      <w:r w:rsidR="00884A22" w:rsidRPr="008D022D">
        <w:rPr>
          <w:lang w:val="en-US"/>
        </w:rPr>
        <w:t xml:space="preserve"> The Consultant will be expected to draw on </w:t>
      </w:r>
      <w:r w:rsidR="00D91F67" w:rsidRPr="008D022D">
        <w:rPr>
          <w:lang w:val="en-US"/>
        </w:rPr>
        <w:t xml:space="preserve">a wide range of data sources, including government reports and databases, </w:t>
      </w:r>
      <w:r w:rsidR="00824DBC" w:rsidRPr="008D022D">
        <w:rPr>
          <w:lang w:val="en-US"/>
        </w:rPr>
        <w:t xml:space="preserve">geospatial data from the World Bank and other agencies, </w:t>
      </w:r>
      <w:r w:rsidR="00824DBC" w:rsidRPr="008D022D">
        <w:t>and</w:t>
      </w:r>
      <w:r w:rsidR="00D91F67" w:rsidRPr="008D022D">
        <w:t xml:space="preserve"> night-light and any other relevant proxies for electrification.</w:t>
      </w:r>
      <w:r w:rsidR="00C45A9D" w:rsidRPr="008D022D">
        <w:rPr>
          <w:lang w:val="en-US"/>
        </w:rPr>
        <w:t xml:space="preserve"> For</w:t>
      </w:r>
      <w:r w:rsidR="005B6867" w:rsidRPr="008D022D">
        <w:rPr>
          <w:lang w:val="en-US"/>
        </w:rPr>
        <w:t xml:space="preserve"> example, in</w:t>
      </w:r>
      <w:r w:rsidR="00C45A9D" w:rsidRPr="008D022D">
        <w:rPr>
          <w:lang w:val="en-US"/>
        </w:rPr>
        <w:t xml:space="preserve"> countries such as Chad, Mauritania, Cameroon and others, there are several </w:t>
      </w:r>
      <w:r w:rsidR="002F7ED7" w:rsidRPr="008D022D">
        <w:rPr>
          <w:lang w:val="en-US"/>
        </w:rPr>
        <w:t>mini grids</w:t>
      </w:r>
      <w:r w:rsidR="00C45A9D" w:rsidRPr="008D022D">
        <w:rPr>
          <w:lang w:val="en-US"/>
        </w:rPr>
        <w:t xml:space="preserve"> being planned by donors such as AfDB, </w:t>
      </w:r>
      <w:r w:rsidRPr="008D022D">
        <w:rPr>
          <w:lang w:val="en-US"/>
        </w:rPr>
        <w:t>t</w:t>
      </w:r>
      <w:r w:rsidR="00C45A9D" w:rsidRPr="008D022D">
        <w:rPr>
          <w:lang w:val="en-US"/>
        </w:rPr>
        <w:t xml:space="preserve">he World Bank, IFC and others. The </w:t>
      </w:r>
      <w:r w:rsidRPr="008D022D">
        <w:rPr>
          <w:lang w:val="en-US"/>
        </w:rPr>
        <w:t>C</w:t>
      </w:r>
      <w:r w:rsidR="00C45A9D" w:rsidRPr="008D022D">
        <w:rPr>
          <w:lang w:val="en-US"/>
        </w:rPr>
        <w:t xml:space="preserve">onsultant should capture </w:t>
      </w:r>
      <w:r w:rsidRPr="008D022D">
        <w:rPr>
          <w:lang w:val="en-US"/>
        </w:rPr>
        <w:t>these plans and ensure they are integrated into the platform</w:t>
      </w:r>
      <w:r w:rsidR="00C45A9D" w:rsidRPr="008D022D">
        <w:rPr>
          <w:lang w:val="en-US"/>
        </w:rPr>
        <w:t xml:space="preserve">. </w:t>
      </w:r>
    </w:p>
    <w:p w14:paraId="3E350C7D" w14:textId="409EF6BA" w:rsidR="001C22E7" w:rsidRPr="008D022D" w:rsidRDefault="001C22E7" w:rsidP="009B1743">
      <w:pPr>
        <w:numPr>
          <w:ilvl w:val="1"/>
          <w:numId w:val="1"/>
        </w:numPr>
        <w:spacing w:after="240"/>
        <w:jc w:val="both"/>
        <w:rPr>
          <w:lang w:val="en-US"/>
        </w:rPr>
      </w:pPr>
      <w:r w:rsidRPr="008D022D">
        <w:t>The Consultant shall also map supplier</w:t>
      </w:r>
      <w:r w:rsidR="00582A34" w:rsidRPr="008D022D">
        <w:t>-</w:t>
      </w:r>
      <w:r w:rsidRPr="008D022D">
        <w:t>side data for each country, identifying which DRE technologies and providers are already active in each geography. This includes tracking the footprint of key mini</w:t>
      </w:r>
      <w:r w:rsidR="00E873D0" w:rsidRPr="008D022D">
        <w:t xml:space="preserve"> </w:t>
      </w:r>
      <w:r w:rsidRPr="008D022D">
        <w:t xml:space="preserve">grid, </w:t>
      </w:r>
      <w:r w:rsidR="00764364" w:rsidRPr="008D022D">
        <w:t xml:space="preserve">mesh grid, </w:t>
      </w:r>
      <w:r w:rsidRPr="008D022D">
        <w:t>SHS, and productive use technology providers, as well as the maturity of their operations in these markets. This information will be integrated into the platform to support investment planning and market readiness assessments.</w:t>
      </w:r>
    </w:p>
    <w:p w14:paraId="0C20DF81" w14:textId="31383DBE" w:rsidR="008125BE" w:rsidRPr="008D022D" w:rsidRDefault="008125BE" w:rsidP="009B1743">
      <w:pPr>
        <w:numPr>
          <w:ilvl w:val="0"/>
          <w:numId w:val="1"/>
        </w:numPr>
        <w:spacing w:after="240"/>
        <w:jc w:val="both"/>
      </w:pPr>
      <w:r w:rsidRPr="008D022D">
        <w:lastRenderedPageBreak/>
        <w:t xml:space="preserve">Enhanced </w:t>
      </w:r>
      <w:r w:rsidR="00C0312D" w:rsidRPr="008D022D">
        <w:rPr>
          <w:lang w:val="en-US"/>
        </w:rPr>
        <w:t xml:space="preserve">productive use case </w:t>
      </w:r>
      <w:r w:rsidRPr="008D022D">
        <w:t>data: The M300</w:t>
      </w:r>
      <w:r w:rsidR="00C0312D" w:rsidRPr="008D022D">
        <w:t>+</w:t>
      </w:r>
      <w:r w:rsidRPr="008D022D">
        <w:t xml:space="preserve"> DRE platform does not capture the full gamut of productive use cases. In each country, the consultant is expected to:</w:t>
      </w:r>
    </w:p>
    <w:p w14:paraId="7E9BAEF7" w14:textId="62E77117" w:rsidR="00C0312D" w:rsidRPr="008D022D" w:rsidRDefault="009E11E1" w:rsidP="009B1743">
      <w:pPr>
        <w:numPr>
          <w:ilvl w:val="1"/>
          <w:numId w:val="1"/>
        </w:numPr>
        <w:spacing w:after="240"/>
        <w:jc w:val="both"/>
      </w:pPr>
      <w:r w:rsidRPr="008D022D">
        <w:rPr>
          <w:lang w:val="en-US"/>
        </w:rPr>
        <w:t>I</w:t>
      </w:r>
      <w:r w:rsidR="000D2432" w:rsidRPr="008D022D">
        <w:rPr>
          <w:lang w:val="en-US"/>
        </w:rPr>
        <w:t xml:space="preserve">ntegrate geospatial data </w:t>
      </w:r>
      <w:r w:rsidR="002E0CD4" w:rsidRPr="008D022D">
        <w:rPr>
          <w:lang w:val="en-US"/>
        </w:rPr>
        <w:t>related to the current stat</w:t>
      </w:r>
      <w:r w:rsidR="00EF7A10" w:rsidRPr="008D022D">
        <w:rPr>
          <w:lang w:val="en-US"/>
        </w:rPr>
        <w:t>us of deployment of</w:t>
      </w:r>
      <w:r w:rsidR="000D2432" w:rsidRPr="008D022D">
        <w:rPr>
          <w:lang w:val="en-US"/>
        </w:rPr>
        <w:t xml:space="preserve"> irrigation, cooling and agro-processing</w:t>
      </w:r>
      <w:r w:rsidR="00EF7A10" w:rsidRPr="008D022D">
        <w:rPr>
          <w:lang w:val="en-US"/>
        </w:rPr>
        <w:t xml:space="preserve"> technologies</w:t>
      </w:r>
      <w:r w:rsidR="00D551C5" w:rsidRPr="008D022D">
        <w:rPr>
          <w:lang w:val="en-US"/>
        </w:rPr>
        <w:t>, in close</w:t>
      </w:r>
      <w:r w:rsidR="00C0312D" w:rsidRPr="008D022D">
        <w:rPr>
          <w:lang w:val="en-US"/>
        </w:rPr>
        <w:t xml:space="preserve"> collaborat</w:t>
      </w:r>
      <w:r w:rsidR="00D551C5" w:rsidRPr="008D022D">
        <w:rPr>
          <w:lang w:val="en-US"/>
        </w:rPr>
        <w:t>ion</w:t>
      </w:r>
      <w:r w:rsidR="00C0312D" w:rsidRPr="008D022D">
        <w:rPr>
          <w:lang w:val="en-US"/>
        </w:rPr>
        <w:t xml:space="preserve"> with consultants from Wageningen University. The Consultant is not expected to carry out additional </w:t>
      </w:r>
      <w:r w:rsidR="00EF7A10" w:rsidRPr="008D022D">
        <w:rPr>
          <w:lang w:val="en-US"/>
        </w:rPr>
        <w:t xml:space="preserve">primary </w:t>
      </w:r>
      <w:r w:rsidR="00C0312D" w:rsidRPr="008D022D">
        <w:rPr>
          <w:lang w:val="en-US"/>
        </w:rPr>
        <w:t xml:space="preserve">data collection around these topics. Cooling data is expected to include small-scale household </w:t>
      </w:r>
      <w:r w:rsidR="00293E10" w:rsidRPr="008D022D">
        <w:rPr>
          <w:lang w:val="en-US"/>
        </w:rPr>
        <w:t xml:space="preserve">refrigeration, </w:t>
      </w:r>
      <w:r w:rsidR="00C0312D" w:rsidRPr="008D022D">
        <w:rPr>
          <w:lang w:val="en-US"/>
        </w:rPr>
        <w:t xml:space="preserve">light </w:t>
      </w:r>
      <w:r w:rsidR="00293E10" w:rsidRPr="008D022D">
        <w:rPr>
          <w:lang w:val="en-US"/>
        </w:rPr>
        <w:t xml:space="preserve">commercial </w:t>
      </w:r>
      <w:r w:rsidR="00C0312D" w:rsidRPr="008D022D">
        <w:rPr>
          <w:lang w:val="en-US"/>
        </w:rPr>
        <w:t>refrigeration</w:t>
      </w:r>
      <w:r w:rsidR="006F208A" w:rsidRPr="008D022D">
        <w:rPr>
          <w:lang w:val="en-US"/>
        </w:rPr>
        <w:t xml:space="preserve"> (especially cold chains for </w:t>
      </w:r>
      <w:r w:rsidR="00725CC8" w:rsidRPr="008D022D">
        <w:rPr>
          <w:lang w:val="en-US"/>
        </w:rPr>
        <w:t>agricultural produce)</w:t>
      </w:r>
      <w:r w:rsidR="00C0312D" w:rsidRPr="008D022D">
        <w:rPr>
          <w:lang w:val="en-US"/>
        </w:rPr>
        <w:t xml:space="preserve">, as well as larger-scale industrial cooling. </w:t>
      </w:r>
    </w:p>
    <w:p w14:paraId="62DCC5B4" w14:textId="697BFB16" w:rsidR="008125BE" w:rsidRPr="008D022D" w:rsidRDefault="00C0312D" w:rsidP="009B1743">
      <w:pPr>
        <w:numPr>
          <w:ilvl w:val="1"/>
          <w:numId w:val="1"/>
        </w:numPr>
        <w:spacing w:after="240"/>
        <w:jc w:val="both"/>
      </w:pPr>
      <w:r w:rsidRPr="008D022D">
        <w:rPr>
          <w:lang w:val="en-US"/>
        </w:rPr>
        <w:t>Integrate additional</w:t>
      </w:r>
      <w:r w:rsidR="008125BE" w:rsidRPr="008D022D">
        <w:rPr>
          <w:lang w:val="en-US"/>
        </w:rPr>
        <w:t xml:space="preserve"> information on </w:t>
      </w:r>
      <w:r w:rsidR="00677C8E" w:rsidRPr="008D022D">
        <w:rPr>
          <w:lang w:val="en-US"/>
        </w:rPr>
        <w:t xml:space="preserve">agricultural </w:t>
      </w:r>
      <w:r w:rsidR="008125BE" w:rsidRPr="008D022D">
        <w:rPr>
          <w:lang w:val="en-US"/>
        </w:rPr>
        <w:t>productivity in the communities</w:t>
      </w:r>
      <w:r w:rsidR="00273E9D" w:rsidRPr="008D022D">
        <w:rPr>
          <w:lang w:val="en-US"/>
        </w:rPr>
        <w:t xml:space="preserve">, which can help estimate </w:t>
      </w:r>
      <w:r w:rsidR="00C648BF" w:rsidRPr="008D022D">
        <w:rPr>
          <w:lang w:val="en-US"/>
        </w:rPr>
        <w:t xml:space="preserve">the market potential </w:t>
      </w:r>
      <w:r w:rsidR="009621E1" w:rsidRPr="008D022D">
        <w:rPr>
          <w:lang w:val="en-US"/>
        </w:rPr>
        <w:t xml:space="preserve">and geographic distribution of </w:t>
      </w:r>
      <w:r w:rsidR="00876D86" w:rsidRPr="008D022D">
        <w:rPr>
          <w:lang w:val="en-US"/>
        </w:rPr>
        <w:t xml:space="preserve">potential application of </w:t>
      </w:r>
      <w:r w:rsidR="00C648BF" w:rsidRPr="008D022D">
        <w:rPr>
          <w:lang w:val="en-US"/>
        </w:rPr>
        <w:t>productive use equipment</w:t>
      </w:r>
      <w:r w:rsidR="008125BE" w:rsidRPr="008D022D">
        <w:rPr>
          <w:lang w:val="en-US"/>
        </w:rPr>
        <w:t>. Th</w:t>
      </w:r>
      <w:r w:rsidRPr="008D022D">
        <w:rPr>
          <w:lang w:val="en-US"/>
        </w:rPr>
        <w:t>e Consultant is expected to:</w:t>
      </w:r>
    </w:p>
    <w:p w14:paraId="4A997191" w14:textId="545C7101" w:rsidR="008125BE" w:rsidRPr="008D022D" w:rsidRDefault="51F70D61" w:rsidP="009B1743">
      <w:pPr>
        <w:numPr>
          <w:ilvl w:val="2"/>
          <w:numId w:val="1"/>
        </w:numPr>
        <w:spacing w:after="240"/>
        <w:jc w:val="both"/>
      </w:pPr>
      <w:r w:rsidRPr="008D022D">
        <w:rPr>
          <w:lang w:val="en-US"/>
        </w:rPr>
        <w:t>Collect u</w:t>
      </w:r>
      <w:r w:rsidR="3DB580CC" w:rsidRPr="008D022D">
        <w:rPr>
          <w:lang w:val="en-US"/>
        </w:rPr>
        <w:t>p-to-date</w:t>
      </w:r>
      <w:r w:rsidR="1560FC9C" w:rsidRPr="008D022D">
        <w:rPr>
          <w:lang w:val="en-US"/>
        </w:rPr>
        <w:t xml:space="preserve"> high res</w:t>
      </w:r>
      <w:r w:rsidR="71537675" w:rsidRPr="008D022D">
        <w:rPr>
          <w:lang w:val="en-US"/>
        </w:rPr>
        <w:t>olution</w:t>
      </w:r>
      <w:r w:rsidR="3DB580CC" w:rsidRPr="008D022D">
        <w:rPr>
          <w:lang w:val="en-US"/>
        </w:rPr>
        <w:t xml:space="preserve"> land cover and land use data</w:t>
      </w:r>
      <w:r w:rsidRPr="008D022D">
        <w:rPr>
          <w:lang w:val="en-US"/>
        </w:rPr>
        <w:t>.</w:t>
      </w:r>
    </w:p>
    <w:p w14:paraId="338BB4F4" w14:textId="77777777" w:rsidR="000211D0" w:rsidRPr="008D022D" w:rsidRDefault="000211D0" w:rsidP="000211D0">
      <w:pPr>
        <w:numPr>
          <w:ilvl w:val="2"/>
          <w:numId w:val="1"/>
        </w:numPr>
        <w:spacing w:after="240"/>
        <w:jc w:val="both"/>
      </w:pPr>
      <w:r w:rsidRPr="008D022D">
        <w:rPr>
          <w:lang w:val="en-US"/>
        </w:rPr>
        <w:t xml:space="preserve">Include the most up to date agricultural production map, showing key crops and key agricultural areas of the country. </w:t>
      </w:r>
    </w:p>
    <w:p w14:paraId="7BA6A615" w14:textId="7968106C" w:rsidR="008125BE" w:rsidRPr="008D022D" w:rsidRDefault="008125BE" w:rsidP="009B1743">
      <w:pPr>
        <w:numPr>
          <w:ilvl w:val="2"/>
          <w:numId w:val="1"/>
        </w:numPr>
        <w:spacing w:after="240"/>
        <w:jc w:val="both"/>
      </w:pPr>
      <w:r w:rsidRPr="008D022D">
        <w:rPr>
          <w:lang w:val="en-US"/>
        </w:rPr>
        <w:t xml:space="preserve">Utilize livelihood </w:t>
      </w:r>
      <w:r w:rsidR="007637BA" w:rsidRPr="008D022D">
        <w:rPr>
          <w:lang w:val="en-US"/>
        </w:rPr>
        <w:t xml:space="preserve">statistics and </w:t>
      </w:r>
      <w:r w:rsidRPr="008D022D">
        <w:rPr>
          <w:lang w:val="en-US"/>
        </w:rPr>
        <w:t xml:space="preserve">maps to identify areas where agricultural </w:t>
      </w:r>
      <w:r w:rsidRPr="008D022D">
        <w:rPr>
          <w:lang w:val="en-US"/>
        </w:rPr>
        <w:softHyphen/>
      </w:r>
      <w:r w:rsidRPr="008D022D">
        <w:rPr>
          <w:lang w:val="en-US"/>
        </w:rPr>
        <w:softHyphen/>
        <w:t xml:space="preserve">and other productivity </w:t>
      </w:r>
      <w:r w:rsidR="001E1A55" w:rsidRPr="008D022D">
        <w:rPr>
          <w:lang w:val="en-US"/>
        </w:rPr>
        <w:t>activities</w:t>
      </w:r>
      <w:r w:rsidRPr="008D022D">
        <w:rPr>
          <w:lang w:val="en-US"/>
        </w:rPr>
        <w:t xml:space="preserve"> </w:t>
      </w:r>
      <w:r w:rsidR="001E1A55" w:rsidRPr="008D022D">
        <w:rPr>
          <w:lang w:val="en-US"/>
        </w:rPr>
        <w:t>occur</w:t>
      </w:r>
      <w:r w:rsidRPr="008D022D">
        <w:rPr>
          <w:lang w:val="en-US"/>
        </w:rPr>
        <w:t xml:space="preserve">. </w:t>
      </w:r>
    </w:p>
    <w:p w14:paraId="433E6EBC" w14:textId="284AF001" w:rsidR="008125BE" w:rsidRPr="008D022D" w:rsidRDefault="00F15BDE" w:rsidP="009B1743">
      <w:pPr>
        <w:numPr>
          <w:ilvl w:val="2"/>
          <w:numId w:val="1"/>
        </w:numPr>
        <w:spacing w:after="240"/>
        <w:jc w:val="both"/>
        <w:rPr>
          <w:lang w:val="en-US"/>
        </w:rPr>
      </w:pPr>
      <w:r w:rsidRPr="008D022D">
        <w:rPr>
          <w:lang w:val="en-US"/>
        </w:rPr>
        <w:t>Develop a</w:t>
      </w:r>
      <w:r w:rsidR="003445D5" w:rsidRPr="008D022D">
        <w:rPr>
          <w:lang w:val="en-US"/>
        </w:rPr>
        <w:t xml:space="preserve"> composite ind</w:t>
      </w:r>
      <w:r w:rsidR="009F2FFA" w:rsidRPr="008D022D">
        <w:rPr>
          <w:lang w:val="en-US"/>
        </w:rPr>
        <w:t xml:space="preserve">ex (based on indicators such as agricultural productivity, </w:t>
      </w:r>
      <w:r w:rsidR="00EC6C55" w:rsidRPr="008D022D">
        <w:rPr>
          <w:lang w:val="en-US"/>
        </w:rPr>
        <w:t xml:space="preserve">agglomeration/co-location effects, </w:t>
      </w:r>
      <w:r w:rsidR="00272124" w:rsidRPr="008D022D">
        <w:rPr>
          <w:lang w:val="en-US"/>
        </w:rPr>
        <w:t xml:space="preserve">proximity to markets, </w:t>
      </w:r>
      <w:r w:rsidR="009F2FFA" w:rsidRPr="008D022D">
        <w:rPr>
          <w:lang w:val="en-US"/>
        </w:rPr>
        <w:t>availability of complementary infrastructure</w:t>
      </w:r>
      <w:r w:rsidR="00EC6C55" w:rsidRPr="008D022D">
        <w:rPr>
          <w:lang w:val="en-US"/>
        </w:rPr>
        <w:t xml:space="preserve"> etc.)</w:t>
      </w:r>
      <w:r w:rsidR="003445D5" w:rsidRPr="008D022D">
        <w:rPr>
          <w:lang w:val="en-US"/>
        </w:rPr>
        <w:t xml:space="preserve"> </w:t>
      </w:r>
      <w:r w:rsidR="00930406" w:rsidRPr="008D022D">
        <w:rPr>
          <w:lang w:val="en-US"/>
        </w:rPr>
        <w:t>to identify and m</w:t>
      </w:r>
      <w:r w:rsidR="008125BE" w:rsidRPr="008D022D">
        <w:rPr>
          <w:lang w:val="en-US"/>
        </w:rPr>
        <w:t>ap out regional hubs and towns where</w:t>
      </w:r>
      <w:r w:rsidR="001E1A55" w:rsidRPr="008D022D">
        <w:rPr>
          <w:lang w:val="en-US"/>
        </w:rPr>
        <w:t xml:space="preserve"> significant</w:t>
      </w:r>
      <w:r w:rsidR="008125BE" w:rsidRPr="008D022D">
        <w:rPr>
          <w:lang w:val="en-US"/>
        </w:rPr>
        <w:t xml:space="preserve"> agro-production or commercial activities</w:t>
      </w:r>
      <w:r w:rsidR="001E1A55" w:rsidRPr="008D022D">
        <w:rPr>
          <w:lang w:val="en-US"/>
        </w:rPr>
        <w:t xml:space="preserve"> are expected to occur</w:t>
      </w:r>
      <w:r w:rsidR="008125BE" w:rsidRPr="008D022D">
        <w:rPr>
          <w:lang w:val="en-US"/>
        </w:rPr>
        <w:t xml:space="preserve">. </w:t>
      </w:r>
    </w:p>
    <w:p w14:paraId="4D2B0CEB" w14:textId="476198E9" w:rsidR="008125BE" w:rsidRPr="008D022D" w:rsidRDefault="008125BE" w:rsidP="009B1743">
      <w:pPr>
        <w:numPr>
          <w:ilvl w:val="2"/>
          <w:numId w:val="1"/>
        </w:numPr>
        <w:spacing w:after="240"/>
        <w:jc w:val="both"/>
        <w:rPr>
          <w:lang w:val="en-US"/>
        </w:rPr>
      </w:pPr>
      <w:r w:rsidRPr="008D022D">
        <w:rPr>
          <w:lang w:val="en-US"/>
        </w:rPr>
        <w:t xml:space="preserve">Map out </w:t>
      </w:r>
      <w:r w:rsidR="00C0312D" w:rsidRPr="008D022D">
        <w:rPr>
          <w:lang w:val="en-US"/>
        </w:rPr>
        <w:t xml:space="preserve">additional productive and commercial </w:t>
      </w:r>
      <w:r w:rsidRPr="008D022D">
        <w:rPr>
          <w:lang w:val="en-US"/>
        </w:rPr>
        <w:t>points of interests</w:t>
      </w:r>
      <w:r w:rsidR="00C0312D" w:rsidRPr="008D022D">
        <w:rPr>
          <w:lang w:val="en-US"/>
        </w:rPr>
        <w:t xml:space="preserve"> such as banks, fuel stations, restaurants and shops.</w:t>
      </w:r>
    </w:p>
    <w:p w14:paraId="1760D55C" w14:textId="41A1877D" w:rsidR="001E1A55" w:rsidRPr="008D022D" w:rsidRDefault="001E1A55" w:rsidP="009B1743">
      <w:pPr>
        <w:numPr>
          <w:ilvl w:val="0"/>
          <w:numId w:val="1"/>
        </w:numPr>
        <w:spacing w:after="240"/>
        <w:jc w:val="both"/>
      </w:pPr>
      <w:r w:rsidRPr="008D022D">
        <w:t>Enhanced income data: The consultant should add information on these topics in each of the countries:</w:t>
      </w:r>
    </w:p>
    <w:p w14:paraId="07641090" w14:textId="6D2C1616" w:rsidR="001E1A55" w:rsidRPr="008D022D" w:rsidRDefault="3427A186" w:rsidP="001E1A55">
      <w:pPr>
        <w:numPr>
          <w:ilvl w:val="1"/>
          <w:numId w:val="1"/>
        </w:numPr>
        <w:spacing w:after="240"/>
        <w:jc w:val="both"/>
        <w:rPr>
          <w:lang w:val="en-US"/>
        </w:rPr>
      </w:pPr>
      <w:r w:rsidRPr="008D022D">
        <w:rPr>
          <w:lang w:val="en-US"/>
        </w:rPr>
        <w:t>C</w:t>
      </w:r>
      <w:r w:rsidR="001E1A55" w:rsidRPr="008D022D">
        <w:rPr>
          <w:lang w:val="en-US"/>
        </w:rPr>
        <w:t>ollect and integrate geospatial data from network intelligence providers (e.g. Ookla) and MNOs on (i) network usage metrics (incl. device types, network performance metrics, aggregated user profiles) and (ii) mobile money usage metrics (incl. transaction volume and value, usage patterns, demographic data and remittance flow)</w:t>
      </w:r>
      <w:r w:rsidR="001E1A55" w:rsidRPr="008D022D">
        <w:rPr>
          <w:rStyle w:val="FootnoteReference"/>
          <w:lang w:val="en-US"/>
        </w:rPr>
        <w:footnoteReference w:id="3"/>
      </w:r>
      <w:r w:rsidR="001E1A55" w:rsidRPr="008D022D">
        <w:rPr>
          <w:lang w:val="en-US"/>
        </w:rPr>
        <w:t xml:space="preserve">; </w:t>
      </w:r>
    </w:p>
    <w:p w14:paraId="2B2526B3" w14:textId="37182DFF" w:rsidR="001E1A55" w:rsidRPr="008D022D" w:rsidRDefault="001E1A55" w:rsidP="001E1A55">
      <w:pPr>
        <w:numPr>
          <w:ilvl w:val="1"/>
          <w:numId w:val="1"/>
        </w:numPr>
        <w:spacing w:after="240"/>
        <w:jc w:val="both"/>
        <w:rPr>
          <w:lang w:val="en-US"/>
        </w:rPr>
      </w:pPr>
      <w:r w:rsidRPr="008D022D">
        <w:rPr>
          <w:lang w:val="en-US"/>
        </w:rPr>
        <w:t>Integrate information such as location of mobile-phone towers, information of the GSMA map of the country.</w:t>
      </w:r>
    </w:p>
    <w:p w14:paraId="0000000A" w14:textId="0530FE89" w:rsidR="001E0177" w:rsidRPr="008D022D" w:rsidRDefault="001E1A55" w:rsidP="009B1743">
      <w:pPr>
        <w:numPr>
          <w:ilvl w:val="1"/>
          <w:numId w:val="1"/>
        </w:numPr>
        <w:spacing w:after="240"/>
        <w:jc w:val="both"/>
        <w:rPr>
          <w:lang w:val="en-US"/>
        </w:rPr>
      </w:pPr>
      <w:r w:rsidRPr="008D022D">
        <w:lastRenderedPageBreak/>
        <w:t>Include</w:t>
      </w:r>
      <w:r w:rsidR="00896870" w:rsidRPr="008D022D">
        <w:t xml:space="preserve"> geospatial</w:t>
      </w:r>
      <w:r w:rsidRPr="008D022D">
        <w:t xml:space="preserve"> </w:t>
      </w:r>
      <w:r w:rsidR="00986690" w:rsidRPr="008D022D">
        <w:t xml:space="preserve">income data, </w:t>
      </w:r>
      <w:r w:rsidRPr="008D022D">
        <w:t xml:space="preserve">relative wealth index data and data around multi-dimensional poverty indicators (at administrative level). </w:t>
      </w:r>
    </w:p>
    <w:p w14:paraId="682CAD4D" w14:textId="49AAC844" w:rsidR="00C0312D" w:rsidRPr="008D022D" w:rsidRDefault="00C0312D" w:rsidP="00C0312D">
      <w:pPr>
        <w:pStyle w:val="ListParagraph"/>
        <w:numPr>
          <w:ilvl w:val="0"/>
          <w:numId w:val="6"/>
        </w:numPr>
        <w:spacing w:after="240"/>
        <w:jc w:val="both"/>
        <w:rPr>
          <w:lang w:val="en-US"/>
        </w:rPr>
      </w:pPr>
      <w:r w:rsidRPr="008D022D">
        <w:rPr>
          <w:lang w:val="en-US"/>
        </w:rPr>
        <w:t>Broader socio-economic data:</w:t>
      </w:r>
      <w:r w:rsidR="001E1A55" w:rsidRPr="008D022D">
        <w:rPr>
          <w:lang w:val="en-US"/>
        </w:rPr>
        <w:t xml:space="preserve"> The Consultant is expected to:</w:t>
      </w:r>
    </w:p>
    <w:p w14:paraId="08293A49" w14:textId="0CE9AC25" w:rsidR="00C0312D" w:rsidRPr="008D022D" w:rsidRDefault="00C0312D" w:rsidP="00C0312D">
      <w:pPr>
        <w:numPr>
          <w:ilvl w:val="1"/>
          <w:numId w:val="6"/>
        </w:numPr>
        <w:spacing w:after="240"/>
        <w:jc w:val="both"/>
      </w:pPr>
      <w:r w:rsidRPr="008D022D">
        <w:rPr>
          <w:lang w:val="en-US"/>
        </w:rPr>
        <w:t xml:space="preserve">Update public facilities information </w:t>
      </w:r>
      <w:r w:rsidR="00E159D8" w:rsidRPr="008D022D">
        <w:rPr>
          <w:lang w:val="en-US"/>
        </w:rPr>
        <w:t>in</w:t>
      </w:r>
      <w:r w:rsidRPr="008D022D">
        <w:rPr>
          <w:lang w:val="en-US"/>
        </w:rPr>
        <w:t xml:space="preserve"> close liaison with </w:t>
      </w:r>
      <w:r w:rsidR="00E159D8" w:rsidRPr="008D022D">
        <w:rPr>
          <w:lang w:val="en-US"/>
        </w:rPr>
        <w:t>t</w:t>
      </w:r>
      <w:r w:rsidRPr="008D022D">
        <w:rPr>
          <w:lang w:val="en-US"/>
        </w:rPr>
        <w:t xml:space="preserve">he World Bank, SEforALL and others. </w:t>
      </w:r>
    </w:p>
    <w:p w14:paraId="1457C4D2" w14:textId="77DD6926" w:rsidR="00C0312D" w:rsidRPr="008D022D" w:rsidRDefault="00C0312D" w:rsidP="009B1743">
      <w:pPr>
        <w:numPr>
          <w:ilvl w:val="1"/>
          <w:numId w:val="6"/>
        </w:numPr>
        <w:spacing w:after="240"/>
        <w:jc w:val="both"/>
      </w:pPr>
      <w:r w:rsidRPr="008D022D">
        <w:rPr>
          <w:lang w:val="en-US"/>
        </w:rPr>
        <w:t xml:space="preserve">Update and include </w:t>
      </w:r>
      <w:r w:rsidR="00E159D8" w:rsidRPr="008D022D">
        <w:rPr>
          <w:lang w:val="en-US"/>
        </w:rPr>
        <w:t xml:space="preserve">the </w:t>
      </w:r>
      <w:r w:rsidRPr="008D022D">
        <w:rPr>
          <w:lang w:val="en-US"/>
        </w:rPr>
        <w:t>most</w:t>
      </w:r>
      <w:r w:rsidR="00E159D8" w:rsidRPr="008D022D">
        <w:rPr>
          <w:lang w:val="en-US"/>
        </w:rPr>
        <w:t xml:space="preserve"> </w:t>
      </w:r>
      <w:r w:rsidRPr="008D022D">
        <w:rPr>
          <w:lang w:val="en-US"/>
        </w:rPr>
        <w:t>up-to-date</w:t>
      </w:r>
      <w:r w:rsidR="00E159D8" w:rsidRPr="008D022D">
        <w:rPr>
          <w:lang w:val="en-US"/>
        </w:rPr>
        <w:t xml:space="preserve"> available</w:t>
      </w:r>
      <w:r w:rsidRPr="008D022D">
        <w:rPr>
          <w:lang w:val="en-US"/>
        </w:rPr>
        <w:t xml:space="preserve"> security </w:t>
      </w:r>
      <w:r w:rsidR="00727517" w:rsidRPr="008D022D">
        <w:rPr>
          <w:lang w:val="en-US"/>
        </w:rPr>
        <w:t xml:space="preserve">and </w:t>
      </w:r>
      <w:r w:rsidR="00555D6F" w:rsidRPr="008D022D">
        <w:rPr>
          <w:lang w:val="en-US"/>
        </w:rPr>
        <w:t xml:space="preserve">accessibility </w:t>
      </w:r>
      <w:r w:rsidRPr="008D022D">
        <w:rPr>
          <w:lang w:val="en-US"/>
        </w:rPr>
        <w:t xml:space="preserve">data of the region. </w:t>
      </w:r>
    </w:p>
    <w:p w14:paraId="2C9FC218" w14:textId="41684E79" w:rsidR="008125BE" w:rsidRPr="008D022D" w:rsidRDefault="008125BE" w:rsidP="009B1743">
      <w:pPr>
        <w:spacing w:after="240"/>
        <w:jc w:val="both"/>
      </w:pPr>
      <w:r w:rsidRPr="008D022D">
        <w:rPr>
          <w:lang w:val="en-US"/>
        </w:rPr>
        <w:t>Where data is non-confidential, and confirmed as suitable for public release, the Consultant is also expected to support the integration of the collected datasets into the</w:t>
      </w:r>
      <w:r w:rsidR="001E1A55" w:rsidRPr="008D022D">
        <w:rPr>
          <w:lang w:val="en-US"/>
        </w:rPr>
        <w:t xml:space="preserve"> public facing version of the</w:t>
      </w:r>
      <w:r w:rsidRPr="008D022D">
        <w:rPr>
          <w:lang w:val="en-US"/>
        </w:rPr>
        <w:t xml:space="preserve"> M300</w:t>
      </w:r>
      <w:r w:rsidR="001E1A55" w:rsidRPr="008D022D">
        <w:rPr>
          <w:lang w:val="en-US"/>
        </w:rPr>
        <w:t>+</w:t>
      </w:r>
      <w:r w:rsidRPr="008D022D">
        <w:rPr>
          <w:lang w:val="en-US"/>
        </w:rPr>
        <w:t xml:space="preserve"> DRE platform.  </w:t>
      </w:r>
    </w:p>
    <w:p w14:paraId="00000012" w14:textId="77777777" w:rsidR="001E0177" w:rsidRPr="008D022D" w:rsidRDefault="00C45A9D" w:rsidP="00C0312D">
      <w:pPr>
        <w:spacing w:before="240" w:after="240"/>
        <w:jc w:val="both"/>
        <w:rPr>
          <w:b/>
          <w:bCs/>
        </w:rPr>
      </w:pPr>
      <w:r w:rsidRPr="008D022D">
        <w:t xml:space="preserve">(B) </w:t>
      </w:r>
      <w:r w:rsidRPr="008D022D">
        <w:rPr>
          <w:b/>
          <w:bCs/>
        </w:rPr>
        <w:t>Identify market for DRE in each country</w:t>
      </w:r>
    </w:p>
    <w:p w14:paraId="00000013" w14:textId="77777777" w:rsidR="001E0177" w:rsidRPr="008D022D" w:rsidRDefault="00C45A9D" w:rsidP="00C0312D">
      <w:pPr>
        <w:spacing w:before="240" w:after="240"/>
        <w:jc w:val="both"/>
      </w:pPr>
      <w:r w:rsidRPr="008D022D">
        <w:t xml:space="preserve">Using the information generated through geospatial assessment in task A, the consultant should assess the market for DRE in each of the countries. </w:t>
      </w:r>
    </w:p>
    <w:p w14:paraId="00000014" w14:textId="77777777" w:rsidR="001E0177" w:rsidRPr="008D022D" w:rsidRDefault="00C45A9D" w:rsidP="009B1743">
      <w:pPr>
        <w:numPr>
          <w:ilvl w:val="0"/>
          <w:numId w:val="2"/>
        </w:numPr>
        <w:spacing w:before="240" w:after="240"/>
        <w:jc w:val="both"/>
      </w:pPr>
      <w:r w:rsidRPr="008D022D">
        <w:rPr>
          <w:lang w:val="en-US"/>
        </w:rPr>
        <w:t xml:space="preserve">Identify key areas in countries without energy access. </w:t>
      </w:r>
    </w:p>
    <w:p w14:paraId="00000015" w14:textId="77777777" w:rsidR="001E0177" w:rsidRPr="008D022D" w:rsidRDefault="00C45A9D" w:rsidP="009B1743">
      <w:pPr>
        <w:numPr>
          <w:ilvl w:val="0"/>
          <w:numId w:val="2"/>
        </w:numPr>
        <w:spacing w:after="240"/>
        <w:jc w:val="both"/>
      </w:pPr>
      <w:r w:rsidRPr="008D022D">
        <w:rPr>
          <w:lang w:val="en-US"/>
        </w:rPr>
        <w:t xml:space="preserve">Identify figures around energy access, types of communities without energy access and potential technology. </w:t>
      </w:r>
    </w:p>
    <w:p w14:paraId="00000016" w14:textId="77777777" w:rsidR="001E0177" w:rsidRPr="008D022D" w:rsidRDefault="00C45A9D" w:rsidP="009B1743">
      <w:pPr>
        <w:numPr>
          <w:ilvl w:val="0"/>
          <w:numId w:val="2"/>
        </w:numPr>
        <w:spacing w:after="240"/>
        <w:jc w:val="both"/>
      </w:pPr>
      <w:r w:rsidRPr="008D022D">
        <w:rPr>
          <w:lang w:val="en-US"/>
        </w:rPr>
        <w:t xml:space="preserve">Segregate markets into large communities, middle-sized communities, smaller-communities and distributed settlements, without access to electricity. </w:t>
      </w:r>
    </w:p>
    <w:p w14:paraId="00000017" w14:textId="54636527" w:rsidR="001E0177" w:rsidRPr="008D022D" w:rsidRDefault="00C45A9D">
      <w:pPr>
        <w:numPr>
          <w:ilvl w:val="0"/>
          <w:numId w:val="2"/>
        </w:numPr>
        <w:spacing w:after="240"/>
        <w:jc w:val="both"/>
      </w:pPr>
      <w:r w:rsidRPr="008D022D">
        <w:rPr>
          <w:lang w:val="en-US"/>
        </w:rPr>
        <w:t>Identify the size of markets at different bands of reach of energy access, such as within 2.5</w:t>
      </w:r>
      <w:r w:rsidR="00AE777E" w:rsidRPr="008D022D">
        <w:rPr>
          <w:lang w:val="en-US"/>
        </w:rPr>
        <w:t xml:space="preserve"> </w:t>
      </w:r>
      <w:r w:rsidRPr="008D022D">
        <w:rPr>
          <w:lang w:val="en-US"/>
        </w:rPr>
        <w:t>km of the MV grid lines, within 5</w:t>
      </w:r>
      <w:r w:rsidR="00AE777E" w:rsidRPr="008D022D">
        <w:rPr>
          <w:lang w:val="en-US"/>
        </w:rPr>
        <w:t xml:space="preserve"> </w:t>
      </w:r>
      <w:r w:rsidRPr="008D022D">
        <w:rPr>
          <w:lang w:val="en-US"/>
        </w:rPr>
        <w:t>to 2.5</w:t>
      </w:r>
      <w:r w:rsidR="0040133E" w:rsidRPr="008D022D">
        <w:rPr>
          <w:lang w:val="en-US"/>
        </w:rPr>
        <w:t xml:space="preserve"> </w:t>
      </w:r>
      <w:r w:rsidRPr="008D022D">
        <w:rPr>
          <w:lang w:val="en-US"/>
        </w:rPr>
        <w:t>km, 5 to 10</w:t>
      </w:r>
      <w:r w:rsidR="00AE777E" w:rsidRPr="008D022D">
        <w:rPr>
          <w:lang w:val="en-US"/>
        </w:rPr>
        <w:t xml:space="preserve"> </w:t>
      </w:r>
      <w:r w:rsidRPr="008D022D">
        <w:rPr>
          <w:lang w:val="en-US"/>
        </w:rPr>
        <w:t xml:space="preserve">km and beyond. </w:t>
      </w:r>
    </w:p>
    <w:p w14:paraId="3E1B1ACA" w14:textId="0DE7D5A8" w:rsidR="00CA1279" w:rsidRPr="008D022D" w:rsidRDefault="00CA1279" w:rsidP="00CA1279">
      <w:pPr>
        <w:pStyle w:val="ListParagraph"/>
        <w:numPr>
          <w:ilvl w:val="0"/>
          <w:numId w:val="2"/>
        </w:numPr>
        <w:spacing w:after="240"/>
        <w:jc w:val="both"/>
        <w:rPr>
          <w:lang w:val="en-US"/>
        </w:rPr>
      </w:pPr>
      <w:r w:rsidRPr="008D022D">
        <w:t>Identify the local market presence of DRE providers to prioritize areas for intervention. This includes considering the depth and breadth of private sector activity in each geography, which may serve as an indicator of market readiness and ease of implementation.</w:t>
      </w:r>
    </w:p>
    <w:p w14:paraId="400A667C" w14:textId="685A7F27" w:rsidR="001E1A55" w:rsidRPr="008D022D" w:rsidRDefault="00C45A9D" w:rsidP="001E1A55">
      <w:pPr>
        <w:numPr>
          <w:ilvl w:val="0"/>
          <w:numId w:val="2"/>
        </w:numPr>
        <w:spacing w:after="240"/>
        <w:jc w:val="both"/>
        <w:rPr>
          <w:lang w:val="en-US"/>
        </w:rPr>
      </w:pPr>
      <w:r w:rsidRPr="008D022D">
        <w:rPr>
          <w:lang w:val="en-US"/>
        </w:rPr>
        <w:t xml:space="preserve">Prepare a market report for each country showing size of markets, potential technologies and </w:t>
      </w:r>
      <w:r w:rsidR="00CA1279" w:rsidRPr="008D022D">
        <w:rPr>
          <w:lang w:val="en-US"/>
        </w:rPr>
        <w:t xml:space="preserve">viability and </w:t>
      </w:r>
      <w:r w:rsidRPr="008D022D">
        <w:rPr>
          <w:lang w:val="en-US"/>
        </w:rPr>
        <w:t>attractiveness for mini-grid</w:t>
      </w:r>
      <w:r w:rsidR="0040133E" w:rsidRPr="008D022D">
        <w:rPr>
          <w:lang w:val="en-US"/>
        </w:rPr>
        <w:t>s</w:t>
      </w:r>
      <w:r w:rsidRPr="008D022D">
        <w:rPr>
          <w:lang w:val="en-US"/>
        </w:rPr>
        <w:t>, mesh-grid</w:t>
      </w:r>
      <w:r w:rsidR="0040133E" w:rsidRPr="008D022D">
        <w:rPr>
          <w:lang w:val="en-US"/>
        </w:rPr>
        <w:t>s,</w:t>
      </w:r>
      <w:r w:rsidRPr="008D022D">
        <w:rPr>
          <w:lang w:val="en-US"/>
        </w:rPr>
        <w:t xml:space="preserve"> solar home systems</w:t>
      </w:r>
      <w:r w:rsidR="0040133E" w:rsidRPr="008D022D">
        <w:rPr>
          <w:lang w:val="en-US"/>
        </w:rPr>
        <w:t>, and producti</w:t>
      </w:r>
      <w:r w:rsidR="004230AA" w:rsidRPr="008D022D">
        <w:rPr>
          <w:lang w:val="en-US"/>
        </w:rPr>
        <w:t>ve use equipment</w:t>
      </w:r>
      <w:r w:rsidRPr="008D022D">
        <w:rPr>
          <w:lang w:val="en-US"/>
        </w:rPr>
        <w:t xml:space="preserve">. </w:t>
      </w:r>
      <w:r w:rsidR="001E1A55" w:rsidRPr="008D022D">
        <w:t xml:space="preserve"> The reports should acknowledge that certain settlements may be best served by a combination of electrification solutions - for example, solar home systems may complement mini-grids in areas where full grid coverage is not feasible.</w:t>
      </w:r>
    </w:p>
    <w:p w14:paraId="5161FB3C" w14:textId="2ED7487F" w:rsidR="00C0312D" w:rsidRPr="008D022D" w:rsidRDefault="00C0312D" w:rsidP="009B1743">
      <w:pPr>
        <w:spacing w:after="240"/>
        <w:jc w:val="both"/>
        <w:rPr>
          <w:lang w:val="en-US"/>
        </w:rPr>
      </w:pPr>
      <w:r w:rsidRPr="008D022D">
        <w:rPr>
          <w:lang w:val="en-US"/>
        </w:rPr>
        <w:t xml:space="preserve">The World Bank has hired consultants under a separate engagement to design public funding mechanisms through which DRE can be supported in each of the seven countries. The </w:t>
      </w:r>
      <w:r w:rsidR="001E1A55" w:rsidRPr="008D022D">
        <w:rPr>
          <w:lang w:val="en-US"/>
        </w:rPr>
        <w:t xml:space="preserve">Consultant under this assignment </w:t>
      </w:r>
      <w:r w:rsidRPr="008D022D">
        <w:rPr>
          <w:lang w:val="en-US"/>
        </w:rPr>
        <w:t>is expected to work in close collaboration with these consultants to ensure complementarity of efforts and to reduce risks of duplication of effort.</w:t>
      </w:r>
    </w:p>
    <w:p w14:paraId="00000019" w14:textId="37707B43" w:rsidR="001E0177" w:rsidRPr="008D022D" w:rsidRDefault="00C45A9D" w:rsidP="00C0312D">
      <w:pPr>
        <w:spacing w:before="240" w:after="240"/>
        <w:jc w:val="both"/>
        <w:rPr>
          <w:b/>
        </w:rPr>
      </w:pPr>
      <w:r w:rsidRPr="008D022D">
        <w:lastRenderedPageBreak/>
        <w:t xml:space="preserve">(C) </w:t>
      </w:r>
      <w:r w:rsidR="00D4444F" w:rsidRPr="008D022D">
        <w:rPr>
          <w:b/>
        </w:rPr>
        <w:t>Develop and propose</w:t>
      </w:r>
      <w:r w:rsidRPr="008D022D">
        <w:rPr>
          <w:b/>
        </w:rPr>
        <w:t xml:space="preserve"> financing mechanism</w:t>
      </w:r>
      <w:r w:rsidR="00487EF6" w:rsidRPr="008D022D">
        <w:rPr>
          <w:b/>
        </w:rPr>
        <w:t>s for DRE</w:t>
      </w:r>
      <w:r w:rsidRPr="008D022D">
        <w:rPr>
          <w:b/>
        </w:rPr>
        <w:t xml:space="preserve"> in each country &amp; the region</w:t>
      </w:r>
    </w:p>
    <w:p w14:paraId="0000001B" w14:textId="37493BA1" w:rsidR="001E0177" w:rsidRPr="008D022D" w:rsidRDefault="00C45A9D" w:rsidP="009B1743">
      <w:pPr>
        <w:spacing w:after="240"/>
        <w:jc w:val="both"/>
      </w:pPr>
      <w:r w:rsidRPr="008D022D">
        <w:rPr>
          <w:lang w:val="en-US"/>
        </w:rPr>
        <w:t xml:space="preserve">Using the </w:t>
      </w:r>
      <w:r w:rsidR="0093145B" w:rsidRPr="008D022D">
        <w:rPr>
          <w:lang w:val="en-US"/>
        </w:rPr>
        <w:t>data collected under Tasks A and B</w:t>
      </w:r>
      <w:r w:rsidRPr="008D022D">
        <w:rPr>
          <w:lang w:val="en-US"/>
        </w:rPr>
        <w:t>,</w:t>
      </w:r>
      <w:r w:rsidR="001E1A55" w:rsidRPr="008D022D">
        <w:rPr>
          <w:lang w:val="en-US"/>
        </w:rPr>
        <w:t xml:space="preserve"> </w:t>
      </w:r>
      <w:r w:rsidR="00A96508" w:rsidRPr="008D022D">
        <w:rPr>
          <w:lang w:val="en-US"/>
        </w:rPr>
        <w:t>the Consultant</w:t>
      </w:r>
      <w:r w:rsidR="001E1A55" w:rsidRPr="008D022D">
        <w:rPr>
          <w:lang w:val="en-US"/>
        </w:rPr>
        <w:t xml:space="preserve"> is expected to</w:t>
      </w:r>
      <w:r w:rsidRPr="008D022D">
        <w:rPr>
          <w:lang w:val="en-US"/>
        </w:rPr>
        <w:t xml:space="preserve"> conduct country-wide and regional assessment</w:t>
      </w:r>
      <w:r w:rsidR="001E1A55" w:rsidRPr="008D022D">
        <w:rPr>
          <w:lang w:val="en-US"/>
        </w:rPr>
        <w:t>s</w:t>
      </w:r>
      <w:r w:rsidRPr="008D022D">
        <w:rPr>
          <w:lang w:val="en-US"/>
        </w:rPr>
        <w:t xml:space="preserve"> </w:t>
      </w:r>
      <w:r w:rsidR="00487EF6" w:rsidRPr="008D022D">
        <w:rPr>
          <w:lang w:val="en-US"/>
        </w:rPr>
        <w:t>to develop</w:t>
      </w:r>
      <w:r w:rsidRPr="008D022D">
        <w:rPr>
          <w:lang w:val="en-US"/>
        </w:rPr>
        <w:t xml:space="preserve"> </w:t>
      </w:r>
      <w:r w:rsidR="00B15EFA" w:rsidRPr="008D022D">
        <w:rPr>
          <w:lang w:val="en-US"/>
        </w:rPr>
        <w:t xml:space="preserve">potential </w:t>
      </w:r>
      <w:r w:rsidRPr="008D022D">
        <w:rPr>
          <w:lang w:val="en-US"/>
        </w:rPr>
        <w:t>financing mechanisms</w:t>
      </w:r>
      <w:r w:rsidR="00487EF6" w:rsidRPr="008D022D">
        <w:rPr>
          <w:lang w:val="en-US"/>
        </w:rPr>
        <w:t xml:space="preserve"> for </w:t>
      </w:r>
      <w:r w:rsidR="00B15EFA" w:rsidRPr="008D022D">
        <w:rPr>
          <w:lang w:val="en-US"/>
        </w:rPr>
        <w:t>DRE technologies</w:t>
      </w:r>
      <w:r w:rsidR="00C31FB3" w:rsidRPr="008D022D">
        <w:rPr>
          <w:lang w:val="en-US"/>
        </w:rPr>
        <w:t xml:space="preserve"> as part of the Regional DARES programme. </w:t>
      </w:r>
      <w:r w:rsidR="001E1A55" w:rsidRPr="008D022D">
        <w:rPr>
          <w:lang w:val="en-US"/>
        </w:rPr>
        <w:t>The Consultant is expected to:</w:t>
      </w:r>
    </w:p>
    <w:p w14:paraId="2DCC451B" w14:textId="3CC4AF50" w:rsidR="00C31FB3" w:rsidRPr="008D022D" w:rsidRDefault="00806946" w:rsidP="00C31FB3">
      <w:pPr>
        <w:pStyle w:val="ListParagraph"/>
        <w:numPr>
          <w:ilvl w:val="0"/>
          <w:numId w:val="6"/>
        </w:numPr>
        <w:spacing w:after="240"/>
        <w:jc w:val="both"/>
      </w:pPr>
      <w:r w:rsidRPr="008D022D">
        <w:rPr>
          <w:lang w:val="en-US"/>
        </w:rPr>
        <w:t>E</w:t>
      </w:r>
      <w:r w:rsidR="00C31FB3" w:rsidRPr="008D022D">
        <w:t xml:space="preserve">xplore </w:t>
      </w:r>
      <w:r w:rsidR="00A23B45" w:rsidRPr="008D022D">
        <w:t>different options for the design of</w:t>
      </w:r>
      <w:r w:rsidR="00C31FB3" w:rsidRPr="008D022D">
        <w:t xml:space="preserve"> subsidies </w:t>
      </w:r>
      <w:r w:rsidR="00A23B45" w:rsidRPr="008D022D">
        <w:t>for</w:t>
      </w:r>
      <w:r w:rsidR="00C31FB3" w:rsidRPr="008D022D">
        <w:t xml:space="preserve"> incentivi</w:t>
      </w:r>
      <w:r w:rsidR="00812CB8" w:rsidRPr="008D022D">
        <w:t>z</w:t>
      </w:r>
      <w:r w:rsidR="00A23B45" w:rsidRPr="008D022D">
        <w:t>ation of</w:t>
      </w:r>
      <w:r w:rsidR="00C31FB3" w:rsidRPr="008D022D">
        <w:t xml:space="preserve"> </w:t>
      </w:r>
      <w:r w:rsidR="00767524" w:rsidRPr="008D022D">
        <w:t>private sector</w:t>
      </w:r>
      <w:r w:rsidR="00A23B45" w:rsidRPr="008D022D">
        <w:t>-</w:t>
      </w:r>
      <w:r w:rsidR="00C31FB3" w:rsidRPr="008D022D">
        <w:t>led electrification</w:t>
      </w:r>
      <w:r w:rsidR="00A23B45" w:rsidRPr="008D022D">
        <w:t xml:space="preserve"> and </w:t>
      </w:r>
      <w:r w:rsidR="00C35D6B" w:rsidRPr="008D022D">
        <w:t>propose the most suitable option</w:t>
      </w:r>
      <w:r w:rsidR="00C31FB3" w:rsidRPr="008D022D">
        <w:t>. Experience from countries in the region shows that different levels of subsidy are needed to incentivize private-sector participation in less commercially attractive areas. This approach also reduces the risk of private operators targeting only the most profitable sites (“low-hanging fruit”) while receiving uniform subsidy levels.</w:t>
      </w:r>
    </w:p>
    <w:p w14:paraId="37102645" w14:textId="77777777" w:rsidR="00C31FB3" w:rsidRPr="008D022D" w:rsidRDefault="00C31FB3" w:rsidP="00C31FB3">
      <w:pPr>
        <w:pStyle w:val="ListParagraph"/>
        <w:spacing w:after="240"/>
        <w:jc w:val="both"/>
      </w:pPr>
    </w:p>
    <w:p w14:paraId="0B67A53F" w14:textId="524F9ABB" w:rsidR="00C31FB3" w:rsidRPr="008D022D" w:rsidRDefault="003A0F4A" w:rsidP="009B1743">
      <w:pPr>
        <w:pStyle w:val="ListParagraph"/>
        <w:spacing w:after="240"/>
        <w:jc w:val="both"/>
      </w:pPr>
      <w:r w:rsidRPr="008D022D">
        <w:t>The Consultant</w:t>
      </w:r>
      <w:r w:rsidR="00767524" w:rsidRPr="008D022D">
        <w:t xml:space="preserve">’s work is expected to </w:t>
      </w:r>
      <w:r w:rsidR="00B2430D" w:rsidRPr="008D022D">
        <w:rPr>
          <w:lang w:val="en-US"/>
        </w:rPr>
        <w:t>inform</w:t>
      </w:r>
      <w:r w:rsidR="00C31FB3" w:rsidRPr="008D022D">
        <w:rPr>
          <w:lang w:val="en-US"/>
        </w:rPr>
        <w:t xml:space="preserve"> an area-based, tiered subsidy approach</w:t>
      </w:r>
      <w:r w:rsidR="00374A35" w:rsidRPr="008D022D">
        <w:rPr>
          <w:lang w:val="en-US"/>
        </w:rPr>
        <w:t xml:space="preserve"> for incentivizing DRE technologies.</w:t>
      </w:r>
      <w:r w:rsidR="00C31FB3" w:rsidRPr="008D022D">
        <w:rPr>
          <w:lang w:val="en-US"/>
        </w:rPr>
        <w:t xml:space="preserve"> As an alternative to site-specific or technology-specific subsidies, </w:t>
      </w:r>
      <w:r w:rsidRPr="008D022D">
        <w:rPr>
          <w:lang w:val="en-US"/>
        </w:rPr>
        <w:t>the Consultant</w:t>
      </w:r>
      <w:r w:rsidR="00C31FB3" w:rsidRPr="008D022D">
        <w:rPr>
          <w:lang w:val="en-US"/>
        </w:rPr>
        <w:t xml:space="preserve"> will assess a</w:t>
      </w:r>
      <w:r w:rsidR="00C43F37" w:rsidRPr="008D022D">
        <w:rPr>
          <w:lang w:val="en-US"/>
        </w:rPr>
        <w:t xml:space="preserve"> technology-agnostic</w:t>
      </w:r>
      <w:r w:rsidR="00C31FB3" w:rsidRPr="008D022D">
        <w:rPr>
          <w:lang w:val="en-US"/>
        </w:rPr>
        <w:t xml:space="preserve"> approach where subsidies are allocated based on administrative units (e.g., local government areas) and the level of access (defined by the MTF) provided by the private operator. Under this approach, subsidies would be defined in a two-stage process:</w:t>
      </w:r>
    </w:p>
    <w:p w14:paraId="223B24F3" w14:textId="56521EF6" w:rsidR="00C31FB3" w:rsidRPr="008D022D" w:rsidRDefault="00C31FB3" w:rsidP="009B1743">
      <w:pPr>
        <w:numPr>
          <w:ilvl w:val="1"/>
          <w:numId w:val="12"/>
        </w:numPr>
        <w:tabs>
          <w:tab w:val="num" w:pos="360"/>
        </w:tabs>
        <w:spacing w:after="240"/>
        <w:ind w:left="1080"/>
        <w:jc w:val="both"/>
      </w:pPr>
      <w:r w:rsidRPr="008D022D">
        <w:rPr>
          <w:lang w:val="en-US"/>
        </w:rPr>
        <w:t>First, areas would be classified according to their commercial attractiveness, with higher subsidy levels assigned to less commercially attractive areas to encourage private-sector investment.</w:t>
      </w:r>
      <w:r w:rsidR="00767524" w:rsidRPr="008D022D">
        <w:rPr>
          <w:lang w:val="en-US"/>
        </w:rPr>
        <w:t xml:space="preserve"> This would be guided by </w:t>
      </w:r>
      <w:r w:rsidR="009A6F4B" w:rsidRPr="008D022D">
        <w:rPr>
          <w:lang w:val="en-US"/>
        </w:rPr>
        <w:t>a similar</w:t>
      </w:r>
      <w:r w:rsidR="00767524" w:rsidRPr="008D022D">
        <w:rPr>
          <w:lang w:val="en-US"/>
        </w:rPr>
        <w:t xml:space="preserve"> approach </w:t>
      </w:r>
      <w:r w:rsidR="009A6F4B" w:rsidRPr="008D022D">
        <w:rPr>
          <w:lang w:val="en-US"/>
        </w:rPr>
        <w:t xml:space="preserve">as the one </w:t>
      </w:r>
      <w:r w:rsidR="00767524" w:rsidRPr="008D022D">
        <w:rPr>
          <w:lang w:val="en-US"/>
        </w:rPr>
        <w:t xml:space="preserve">adopted </w:t>
      </w:r>
      <w:r w:rsidR="009A6F4B" w:rsidRPr="008D022D">
        <w:rPr>
          <w:lang w:val="en-US"/>
        </w:rPr>
        <w:t>under</w:t>
      </w:r>
      <w:r w:rsidR="00767524" w:rsidRPr="008D022D">
        <w:rPr>
          <w:lang w:val="en-US"/>
        </w:rPr>
        <w:t xml:space="preserve"> </w:t>
      </w:r>
      <w:r w:rsidR="009A6F4B" w:rsidRPr="008D022D">
        <w:rPr>
          <w:lang w:val="en-US"/>
        </w:rPr>
        <w:t xml:space="preserve">the </w:t>
      </w:r>
      <w:r w:rsidR="00767524" w:rsidRPr="008D022D">
        <w:rPr>
          <w:lang w:val="en-US"/>
        </w:rPr>
        <w:t>Nigeria</w:t>
      </w:r>
      <w:r w:rsidR="009A6F4B" w:rsidRPr="008D022D">
        <w:rPr>
          <w:lang w:val="en-US"/>
        </w:rPr>
        <w:t xml:space="preserve"> DARES program</w:t>
      </w:r>
      <w:r w:rsidR="00767524" w:rsidRPr="008D022D">
        <w:rPr>
          <w:lang w:val="en-US"/>
        </w:rPr>
        <w:t xml:space="preserve">. In that instance, VIDA identified a number of core business challenges including the logistical challenge of accessing an area; security concerns in the area; the wealth of the area; and the potential market size. VIDA developed a supply-side vulnerability index that incorporated these factors and assigned each area with an index score between 0 and 1. </w:t>
      </w:r>
    </w:p>
    <w:p w14:paraId="41A576F8" w14:textId="37848090" w:rsidR="00767524" w:rsidRPr="008D022D" w:rsidRDefault="00767524" w:rsidP="009B1743">
      <w:pPr>
        <w:tabs>
          <w:tab w:val="num" w:pos="2160"/>
        </w:tabs>
        <w:spacing w:after="240"/>
        <w:ind w:left="1080"/>
        <w:jc w:val="both"/>
      </w:pPr>
      <w:r w:rsidRPr="008D022D">
        <w:t>Then, specific subsidy levels are assigned to each area based on their index score. An example can be seen below:</w:t>
      </w:r>
    </w:p>
    <w:p w14:paraId="1232CF31" w14:textId="6418AB88" w:rsidR="00767524" w:rsidRPr="008D022D" w:rsidRDefault="00767524" w:rsidP="009B1743">
      <w:pPr>
        <w:numPr>
          <w:ilvl w:val="0"/>
          <w:numId w:val="13"/>
        </w:numPr>
        <w:tabs>
          <w:tab w:val="num" w:pos="-360"/>
          <w:tab w:val="num" w:pos="2160"/>
        </w:tabs>
        <w:spacing w:after="240"/>
        <w:ind w:left="1800"/>
        <w:jc w:val="both"/>
      </w:pPr>
      <w:r w:rsidRPr="008D022D">
        <w:rPr>
          <w:i/>
        </w:rPr>
        <w:t>Low subsidy:</w:t>
      </w:r>
      <w:r w:rsidRPr="008D022D">
        <w:t xml:space="preserve"> score 0 to 0.3 </w:t>
      </w:r>
    </w:p>
    <w:p w14:paraId="42435056" w14:textId="4199BDFD" w:rsidR="00767524" w:rsidRPr="008D022D" w:rsidRDefault="00767524" w:rsidP="009B1743">
      <w:pPr>
        <w:numPr>
          <w:ilvl w:val="0"/>
          <w:numId w:val="13"/>
        </w:numPr>
        <w:tabs>
          <w:tab w:val="num" w:pos="-360"/>
          <w:tab w:val="num" w:pos="2160"/>
        </w:tabs>
        <w:spacing w:after="240"/>
        <w:ind w:left="1800"/>
        <w:jc w:val="both"/>
      </w:pPr>
      <w:r w:rsidRPr="008D022D">
        <w:rPr>
          <w:i/>
        </w:rPr>
        <w:t>Medium subsidy:</w:t>
      </w:r>
      <w:r w:rsidRPr="008D022D">
        <w:t xml:space="preserve"> score 0.3 to 0.7 </w:t>
      </w:r>
    </w:p>
    <w:p w14:paraId="2E97245F" w14:textId="77777777" w:rsidR="0006537D" w:rsidRPr="008D022D" w:rsidRDefault="00767524" w:rsidP="009B1743">
      <w:pPr>
        <w:numPr>
          <w:ilvl w:val="0"/>
          <w:numId w:val="13"/>
        </w:numPr>
        <w:tabs>
          <w:tab w:val="num" w:pos="-360"/>
          <w:tab w:val="num" w:pos="2160"/>
        </w:tabs>
        <w:spacing w:after="240"/>
        <w:ind w:left="1800"/>
        <w:jc w:val="both"/>
      </w:pPr>
      <w:r w:rsidRPr="008D022D">
        <w:rPr>
          <w:i/>
        </w:rPr>
        <w:t>High subsidy:</w:t>
      </w:r>
      <w:r w:rsidRPr="008D022D">
        <w:t xml:space="preserve"> score 0.7 to 1 </w:t>
      </w:r>
    </w:p>
    <w:p w14:paraId="17A68963" w14:textId="77777777" w:rsidR="0006537D" w:rsidRPr="008D022D" w:rsidRDefault="00767524" w:rsidP="009B1743">
      <w:pPr>
        <w:numPr>
          <w:ilvl w:val="0"/>
          <w:numId w:val="13"/>
        </w:numPr>
        <w:tabs>
          <w:tab w:val="num" w:pos="-360"/>
          <w:tab w:val="num" w:pos="2160"/>
        </w:tabs>
        <w:spacing w:after="240"/>
        <w:ind w:left="1800"/>
        <w:jc w:val="both"/>
      </w:pPr>
      <w:r w:rsidRPr="008D022D">
        <w:rPr>
          <w:i/>
        </w:rPr>
        <w:t>No subsidy:</w:t>
      </w:r>
      <w:r w:rsidRPr="008D022D">
        <w:t xml:space="preserve"> excluded urban areas </w:t>
      </w:r>
    </w:p>
    <w:p w14:paraId="36C5AA3E" w14:textId="68CB6C88" w:rsidR="0006537D" w:rsidRPr="008D022D" w:rsidRDefault="0006537D" w:rsidP="009B1743">
      <w:pPr>
        <w:pStyle w:val="ListParagraph"/>
        <w:numPr>
          <w:ilvl w:val="1"/>
          <w:numId w:val="12"/>
        </w:numPr>
        <w:tabs>
          <w:tab w:val="clear" w:pos="2160"/>
          <w:tab w:val="num" w:pos="1080"/>
        </w:tabs>
        <w:ind w:left="1080"/>
      </w:pPr>
      <w:r w:rsidRPr="008D022D">
        <w:t>Second, within each area, subsidy amounts would be differentiated based on the level of access provided by the operator. For example, operators would receive a higher level of subsidy for providing a Tier 5 connection as opposed to a Tier 1 connection.</w:t>
      </w:r>
    </w:p>
    <w:p w14:paraId="26252FD5" w14:textId="77777777" w:rsidR="0006537D" w:rsidRPr="008D022D" w:rsidRDefault="0006537D" w:rsidP="009B1743">
      <w:pPr>
        <w:pStyle w:val="ListParagraph"/>
        <w:ind w:left="1080"/>
      </w:pPr>
    </w:p>
    <w:p w14:paraId="3067D822" w14:textId="1B0D3525" w:rsidR="00E63BD4" w:rsidRPr="008D022D" w:rsidRDefault="131BB102" w:rsidP="009B1743">
      <w:pPr>
        <w:tabs>
          <w:tab w:val="num" w:pos="2160"/>
        </w:tabs>
        <w:spacing w:after="240"/>
        <w:ind w:left="1080"/>
        <w:rPr>
          <w:lang w:val="en-US"/>
        </w:rPr>
      </w:pPr>
      <w:r w:rsidRPr="008D022D">
        <w:rPr>
          <w:lang w:val="en-US"/>
        </w:rPr>
        <w:lastRenderedPageBreak/>
        <w:t xml:space="preserve">Where a tiered subsidy approach is deemed appropriate, </w:t>
      </w:r>
      <w:r w:rsidR="00E63BD4" w:rsidRPr="008D022D">
        <w:rPr>
          <w:lang w:val="en-US"/>
        </w:rPr>
        <w:t>the Consultant</w:t>
      </w:r>
      <w:r w:rsidRPr="008D022D">
        <w:rPr>
          <w:lang w:val="en-US"/>
        </w:rPr>
        <w:t xml:space="preserve"> will provide an initial estimate of the suitable dollar amount for each tier</w:t>
      </w:r>
      <w:r w:rsidR="00A04EA0" w:rsidRPr="008D022D">
        <w:rPr>
          <w:lang w:val="en-US"/>
        </w:rPr>
        <w:t xml:space="preserve">, and will work closely with Inensus </w:t>
      </w:r>
      <w:r w:rsidR="00CB02A3" w:rsidRPr="008D022D">
        <w:rPr>
          <w:lang w:val="en-US"/>
        </w:rPr>
        <w:t xml:space="preserve">to </w:t>
      </w:r>
      <w:r w:rsidR="00A04EA0" w:rsidRPr="008D022D">
        <w:rPr>
          <w:lang w:val="en-US"/>
        </w:rPr>
        <w:t>provide</w:t>
      </w:r>
      <w:r w:rsidR="00CB02A3" w:rsidRPr="008D022D">
        <w:rPr>
          <w:lang w:val="en-US"/>
        </w:rPr>
        <w:t xml:space="preserve"> them with</w:t>
      </w:r>
      <w:r w:rsidR="00A04EA0" w:rsidRPr="008D022D">
        <w:rPr>
          <w:lang w:val="en-US"/>
        </w:rPr>
        <w:t xml:space="preserve"> the inputs necessary </w:t>
      </w:r>
      <w:r w:rsidR="00CB02A3" w:rsidRPr="008D022D">
        <w:rPr>
          <w:lang w:val="en-US"/>
        </w:rPr>
        <w:t xml:space="preserve">for calculation of subsidy levels for each </w:t>
      </w:r>
      <w:r w:rsidR="008913E4" w:rsidRPr="008D022D">
        <w:rPr>
          <w:lang w:val="en-US"/>
        </w:rPr>
        <w:t xml:space="preserve">location and </w:t>
      </w:r>
      <w:r w:rsidR="00CB02A3" w:rsidRPr="008D022D">
        <w:rPr>
          <w:lang w:val="en-US"/>
        </w:rPr>
        <w:t>tier</w:t>
      </w:r>
      <w:r w:rsidRPr="008D022D">
        <w:rPr>
          <w:lang w:val="en-US"/>
        </w:rPr>
        <w:t>.</w:t>
      </w:r>
    </w:p>
    <w:p w14:paraId="2F970527" w14:textId="406B1B3D" w:rsidR="00C31FB3" w:rsidRPr="008D022D" w:rsidRDefault="00C31FB3" w:rsidP="009B1743">
      <w:pPr>
        <w:tabs>
          <w:tab w:val="num" w:pos="2160"/>
        </w:tabs>
        <w:spacing w:after="240"/>
        <w:ind w:left="1080"/>
      </w:pPr>
      <w:r w:rsidRPr="008D022D">
        <w:t>An illustrative example from Nigeria, where this area-based, tiered approach to solar home systems has been piloted, is provided in the figure below:</w:t>
      </w:r>
    </w:p>
    <w:p w14:paraId="20957D6E" w14:textId="7F049531" w:rsidR="00C31FB3" w:rsidRPr="008D022D" w:rsidRDefault="00C31FB3" w:rsidP="009B1743">
      <w:pPr>
        <w:tabs>
          <w:tab w:val="num" w:pos="2160"/>
        </w:tabs>
        <w:spacing w:after="240"/>
        <w:ind w:left="1418"/>
      </w:pPr>
      <w:r w:rsidRPr="008D022D">
        <w:rPr>
          <w:color w:val="000000" w:themeColor="text1"/>
        </w:rPr>
        <w:fldChar w:fldCharType="begin"/>
      </w:r>
      <w:r w:rsidRPr="008D022D">
        <w:rPr>
          <w:color w:val="000000" w:themeColor="text1"/>
        </w:rPr>
        <w:instrText xml:space="preserve"> INCLUDEPICTURE "https://lh7-rt.googleusercontent.com/docsz/AD_4nXcDJoY3urYewRBR97up7f3C0qRw3klcrBYfH-zlfEhc28Ff9eEm945lA1mFdRKWHSnn5nCa4YsNMHzRA1z1-p4Txl5an5gtX2QCvaR8ZOL0Qct9kFwSxuGYEurP-jWeJj-L1yMipQ?key=sO7cVckI7mMv5fDIVKSa3N51" \* MERGEFORMATINET </w:instrText>
      </w:r>
      <w:r w:rsidRPr="008D022D">
        <w:rPr>
          <w:color w:val="000000" w:themeColor="text1"/>
        </w:rPr>
        <w:fldChar w:fldCharType="separate"/>
      </w:r>
      <w:r w:rsidRPr="008D022D">
        <w:rPr>
          <w:noProof/>
        </w:rPr>
        <w:drawing>
          <wp:inline distT="0" distB="0" distL="0" distR="0" wp14:anchorId="0ED1FCE7" wp14:editId="77472691">
            <wp:extent cx="5008419" cy="2825262"/>
            <wp:effectExtent l="0" t="0" r="0" b="0"/>
            <wp:docPr id="1442608576" name="Picture 1"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608576" name="Picture 1" descr="A screenshot of a map&#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19721" cy="2831637"/>
                    </a:xfrm>
                    <a:prstGeom prst="rect">
                      <a:avLst/>
                    </a:prstGeom>
                    <a:noFill/>
                    <a:ln>
                      <a:noFill/>
                    </a:ln>
                  </pic:spPr>
                </pic:pic>
              </a:graphicData>
            </a:graphic>
          </wp:inline>
        </w:drawing>
      </w:r>
      <w:r w:rsidRPr="008D022D">
        <w:rPr>
          <w:color w:val="000000" w:themeColor="text1"/>
        </w:rPr>
        <w:fldChar w:fldCharType="end"/>
      </w:r>
    </w:p>
    <w:p w14:paraId="6135A5F5" w14:textId="4325925F" w:rsidR="00C31FB3" w:rsidRPr="008D022D" w:rsidRDefault="00C31FB3" w:rsidP="009B1743">
      <w:pPr>
        <w:spacing w:after="240"/>
        <w:ind w:left="1418"/>
        <w:jc w:val="both"/>
        <w:rPr>
          <w:sz w:val="18"/>
          <w:szCs w:val="18"/>
        </w:rPr>
      </w:pPr>
      <w:r w:rsidRPr="008D022D">
        <w:rPr>
          <w:i/>
          <w:iCs/>
          <w:sz w:val="18"/>
          <w:szCs w:val="18"/>
          <w:lang w:val="en-US"/>
        </w:rPr>
        <w:t>Figure 1: Areas of Nigeria that receive different levels of subsidy under the Nigeria DARES programme.</w:t>
      </w:r>
    </w:p>
    <w:p w14:paraId="670B64A4" w14:textId="699F630A" w:rsidR="00C31FB3" w:rsidRPr="008D022D" w:rsidRDefault="00C31FB3" w:rsidP="009B1743">
      <w:pPr>
        <w:spacing w:after="240"/>
        <w:ind w:left="1418"/>
        <w:jc w:val="both"/>
        <w:rPr>
          <w:lang w:val="en-US"/>
        </w:rPr>
      </w:pPr>
      <w:r w:rsidRPr="008D022D">
        <w:rPr>
          <w:lang w:val="en-US"/>
        </w:rPr>
        <w:t>The table below provides an example of how subsidy amounts might be structured under an area-based, tiered approach:</w:t>
      </w:r>
    </w:p>
    <w:tbl>
      <w:tblPr>
        <w:tblW w:w="7952" w:type="dxa"/>
        <w:tblInd w:w="1408" w:type="dxa"/>
        <w:tblCellMar>
          <w:top w:w="15" w:type="dxa"/>
          <w:left w:w="15" w:type="dxa"/>
          <w:bottom w:w="15" w:type="dxa"/>
          <w:right w:w="15" w:type="dxa"/>
        </w:tblCellMar>
        <w:tblLook w:val="04A0" w:firstRow="1" w:lastRow="0" w:firstColumn="1" w:lastColumn="0" w:noHBand="0" w:noVBand="1"/>
      </w:tblPr>
      <w:tblGrid>
        <w:gridCol w:w="3047"/>
        <w:gridCol w:w="981"/>
        <w:gridCol w:w="981"/>
        <w:gridCol w:w="981"/>
        <w:gridCol w:w="981"/>
        <w:gridCol w:w="981"/>
      </w:tblGrid>
      <w:tr w:rsidR="00C31FB3" w:rsidRPr="008D022D" w14:paraId="7B2AC6C5" w14:textId="77777777" w:rsidTr="011ABB15">
        <w:trPr>
          <w:trHeight w:val="300"/>
        </w:trPr>
        <w:tc>
          <w:tcPr>
            <w:tcW w:w="304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B20CE75" w14:textId="77777777" w:rsidR="00C31FB3" w:rsidRPr="008D022D" w:rsidRDefault="00C31FB3" w:rsidP="00C31FB3">
            <w:pPr>
              <w:spacing w:after="240"/>
              <w:jc w:val="both"/>
              <w:rPr>
                <w:sz w:val="21"/>
                <w:szCs w:val="21"/>
              </w:rPr>
            </w:pP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49D210A" w14:textId="77777777" w:rsidR="00C31FB3" w:rsidRPr="008D022D" w:rsidRDefault="00C31FB3" w:rsidP="00C31FB3">
            <w:pPr>
              <w:spacing w:after="240"/>
              <w:jc w:val="both"/>
              <w:rPr>
                <w:sz w:val="21"/>
                <w:szCs w:val="21"/>
              </w:rPr>
            </w:pPr>
            <w:r w:rsidRPr="008D022D">
              <w:rPr>
                <w:sz w:val="21"/>
                <w:szCs w:val="21"/>
              </w:rPr>
              <w:t>Tier 1</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B0961DC" w14:textId="77777777" w:rsidR="00C31FB3" w:rsidRPr="008D022D" w:rsidRDefault="00C31FB3" w:rsidP="00C31FB3">
            <w:pPr>
              <w:spacing w:after="240"/>
              <w:jc w:val="both"/>
              <w:rPr>
                <w:sz w:val="21"/>
                <w:szCs w:val="21"/>
              </w:rPr>
            </w:pPr>
            <w:r w:rsidRPr="008D022D">
              <w:rPr>
                <w:sz w:val="21"/>
                <w:szCs w:val="21"/>
              </w:rPr>
              <w:t>Tier 2</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1FC1E0C" w14:textId="77777777" w:rsidR="00C31FB3" w:rsidRPr="008D022D" w:rsidRDefault="00C31FB3" w:rsidP="00C31FB3">
            <w:pPr>
              <w:spacing w:after="240"/>
              <w:jc w:val="both"/>
              <w:rPr>
                <w:sz w:val="21"/>
                <w:szCs w:val="21"/>
              </w:rPr>
            </w:pPr>
            <w:r w:rsidRPr="008D022D">
              <w:rPr>
                <w:sz w:val="21"/>
                <w:szCs w:val="21"/>
              </w:rPr>
              <w:t>Tier 3</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0198622" w14:textId="77777777" w:rsidR="00C31FB3" w:rsidRPr="008D022D" w:rsidRDefault="00C31FB3" w:rsidP="00C31FB3">
            <w:pPr>
              <w:spacing w:after="240"/>
              <w:jc w:val="both"/>
              <w:rPr>
                <w:sz w:val="21"/>
                <w:szCs w:val="21"/>
              </w:rPr>
            </w:pPr>
            <w:r w:rsidRPr="008D022D">
              <w:rPr>
                <w:sz w:val="21"/>
                <w:szCs w:val="21"/>
              </w:rPr>
              <w:t>Tier 4</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6E3B7CAC" w14:textId="77777777" w:rsidR="00C31FB3" w:rsidRPr="008D022D" w:rsidRDefault="00C31FB3" w:rsidP="00C31FB3">
            <w:pPr>
              <w:spacing w:after="240"/>
              <w:jc w:val="both"/>
              <w:rPr>
                <w:sz w:val="21"/>
                <w:szCs w:val="21"/>
              </w:rPr>
            </w:pPr>
            <w:r w:rsidRPr="008D022D">
              <w:rPr>
                <w:sz w:val="21"/>
                <w:szCs w:val="21"/>
              </w:rPr>
              <w:t>Tier 5</w:t>
            </w:r>
          </w:p>
        </w:tc>
      </w:tr>
      <w:tr w:rsidR="00C31FB3" w:rsidRPr="008D022D" w14:paraId="4C28A7FA" w14:textId="77777777" w:rsidTr="011ABB15">
        <w:trPr>
          <w:trHeight w:val="300"/>
        </w:trPr>
        <w:tc>
          <w:tcPr>
            <w:tcW w:w="304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3187DCF" w14:textId="3BF3C01E" w:rsidR="00C31FB3" w:rsidRPr="008D022D" w:rsidRDefault="00C31FB3" w:rsidP="009B1743">
            <w:pPr>
              <w:spacing w:after="240"/>
              <w:rPr>
                <w:sz w:val="21"/>
                <w:szCs w:val="21"/>
                <w:lang w:val="en-US"/>
              </w:rPr>
            </w:pPr>
            <w:r w:rsidRPr="008D022D">
              <w:rPr>
                <w:sz w:val="21"/>
                <w:szCs w:val="21"/>
                <w:lang w:val="en-US"/>
              </w:rPr>
              <w:t>Low Commercial Attra</w:t>
            </w:r>
            <w:r w:rsidR="009E7B8E" w:rsidRPr="008D022D">
              <w:rPr>
                <w:sz w:val="21"/>
                <w:szCs w:val="21"/>
                <w:lang w:val="en-US"/>
              </w:rPr>
              <w:t>c</w:t>
            </w:r>
            <w:r w:rsidRPr="008D022D">
              <w:rPr>
                <w:sz w:val="21"/>
                <w:szCs w:val="21"/>
                <w:lang w:val="en-US"/>
              </w:rPr>
              <w:t>tiveness</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D9F4CFC"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35930C4"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FB0CB82"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C7C2140"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1148B16" w14:textId="77777777" w:rsidR="00C31FB3" w:rsidRPr="008D022D" w:rsidRDefault="00C31FB3" w:rsidP="00C31FB3">
            <w:pPr>
              <w:spacing w:after="240"/>
              <w:jc w:val="both"/>
              <w:rPr>
                <w:sz w:val="21"/>
                <w:szCs w:val="21"/>
              </w:rPr>
            </w:pPr>
            <w:r w:rsidRPr="008D022D">
              <w:rPr>
                <w:sz w:val="21"/>
                <w:szCs w:val="21"/>
              </w:rPr>
              <w:t>US$X</w:t>
            </w:r>
          </w:p>
        </w:tc>
      </w:tr>
      <w:tr w:rsidR="00C31FB3" w:rsidRPr="008D022D" w14:paraId="6A7C368A" w14:textId="77777777" w:rsidTr="011ABB15">
        <w:trPr>
          <w:trHeight w:val="300"/>
        </w:trPr>
        <w:tc>
          <w:tcPr>
            <w:tcW w:w="304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4EC10B9E" w14:textId="32A873E3" w:rsidR="00C31FB3" w:rsidRPr="008D022D" w:rsidRDefault="00C31FB3" w:rsidP="009B1743">
            <w:pPr>
              <w:spacing w:after="240"/>
              <w:rPr>
                <w:sz w:val="21"/>
                <w:szCs w:val="21"/>
                <w:lang w:val="en-US"/>
              </w:rPr>
            </w:pPr>
            <w:r w:rsidRPr="008D022D">
              <w:rPr>
                <w:sz w:val="21"/>
                <w:szCs w:val="21"/>
                <w:lang w:val="en-US"/>
              </w:rPr>
              <w:t>Medium Commercial Attra</w:t>
            </w:r>
            <w:r w:rsidR="009E7B8E" w:rsidRPr="008D022D">
              <w:rPr>
                <w:sz w:val="21"/>
                <w:szCs w:val="21"/>
                <w:lang w:val="en-US"/>
              </w:rPr>
              <w:t>c</w:t>
            </w:r>
            <w:r w:rsidRPr="008D022D">
              <w:rPr>
                <w:sz w:val="21"/>
                <w:szCs w:val="21"/>
                <w:lang w:val="en-US"/>
              </w:rPr>
              <w:t>tiveness</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5EE79885"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75D30446"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B57E917"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695F458"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1CB9768" w14:textId="77777777" w:rsidR="00C31FB3" w:rsidRPr="008D022D" w:rsidRDefault="00C31FB3" w:rsidP="00C31FB3">
            <w:pPr>
              <w:spacing w:after="240"/>
              <w:jc w:val="both"/>
              <w:rPr>
                <w:sz w:val="21"/>
                <w:szCs w:val="21"/>
              </w:rPr>
            </w:pPr>
            <w:r w:rsidRPr="008D022D">
              <w:rPr>
                <w:sz w:val="21"/>
                <w:szCs w:val="21"/>
              </w:rPr>
              <w:t>US$X</w:t>
            </w:r>
          </w:p>
        </w:tc>
      </w:tr>
      <w:tr w:rsidR="00C31FB3" w:rsidRPr="008D022D" w14:paraId="2340560F" w14:textId="77777777" w:rsidTr="011ABB15">
        <w:trPr>
          <w:trHeight w:val="300"/>
        </w:trPr>
        <w:tc>
          <w:tcPr>
            <w:tcW w:w="304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A452A18" w14:textId="2AC71C0F" w:rsidR="00C31FB3" w:rsidRPr="008D022D" w:rsidRDefault="00C31FB3" w:rsidP="009B1743">
            <w:pPr>
              <w:spacing w:after="240"/>
              <w:rPr>
                <w:sz w:val="21"/>
                <w:szCs w:val="21"/>
                <w:lang w:val="en-US"/>
              </w:rPr>
            </w:pPr>
            <w:r w:rsidRPr="008D022D">
              <w:rPr>
                <w:sz w:val="21"/>
                <w:szCs w:val="21"/>
                <w:lang w:val="en-US"/>
              </w:rPr>
              <w:t>High Commercial Attra</w:t>
            </w:r>
            <w:r w:rsidR="009E7B8E" w:rsidRPr="008D022D">
              <w:rPr>
                <w:sz w:val="21"/>
                <w:szCs w:val="21"/>
                <w:lang w:val="en-US"/>
              </w:rPr>
              <w:t>c</w:t>
            </w:r>
            <w:r w:rsidRPr="008D022D">
              <w:rPr>
                <w:sz w:val="21"/>
                <w:szCs w:val="21"/>
                <w:lang w:val="en-US"/>
              </w:rPr>
              <w:t>tiveness</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A6CAC05"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60FF25E"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CD1BC9E"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53DC348" w14:textId="77777777" w:rsidR="00C31FB3" w:rsidRPr="008D022D" w:rsidRDefault="00C31FB3" w:rsidP="00C31FB3">
            <w:pPr>
              <w:spacing w:after="240"/>
              <w:jc w:val="both"/>
              <w:rPr>
                <w:sz w:val="21"/>
                <w:szCs w:val="21"/>
              </w:rPr>
            </w:pPr>
            <w:r w:rsidRPr="008D022D">
              <w:rPr>
                <w:sz w:val="21"/>
                <w:szCs w:val="21"/>
              </w:rPr>
              <w:t>US$X</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D795861" w14:textId="77777777" w:rsidR="00C31FB3" w:rsidRPr="008D022D" w:rsidRDefault="00C31FB3" w:rsidP="00C31FB3">
            <w:pPr>
              <w:spacing w:after="240"/>
              <w:jc w:val="both"/>
              <w:rPr>
                <w:sz w:val="21"/>
                <w:szCs w:val="21"/>
              </w:rPr>
            </w:pPr>
            <w:r w:rsidRPr="008D022D">
              <w:rPr>
                <w:sz w:val="21"/>
                <w:szCs w:val="21"/>
              </w:rPr>
              <w:t>US$X</w:t>
            </w:r>
          </w:p>
        </w:tc>
      </w:tr>
    </w:tbl>
    <w:p w14:paraId="76324899" w14:textId="77777777" w:rsidR="00C31FB3" w:rsidRPr="008D022D" w:rsidRDefault="00C31FB3" w:rsidP="009B1743">
      <w:pPr>
        <w:spacing w:after="240"/>
        <w:ind w:left="720" w:firstLine="720"/>
        <w:jc w:val="both"/>
        <w:rPr>
          <w:i/>
          <w:iCs/>
        </w:rPr>
      </w:pPr>
      <w:r w:rsidRPr="008D022D">
        <w:rPr>
          <w:i/>
          <w:iCs/>
        </w:rPr>
        <w:t>Table 1: Table illustrating the area-based, tier-based subsidy approach.</w:t>
      </w:r>
    </w:p>
    <w:p w14:paraId="16999207" w14:textId="1834500C" w:rsidR="00007A05" w:rsidRPr="008D022D" w:rsidRDefault="00C45A9D" w:rsidP="009B1743">
      <w:pPr>
        <w:numPr>
          <w:ilvl w:val="0"/>
          <w:numId w:val="3"/>
        </w:numPr>
        <w:spacing w:after="240"/>
        <w:jc w:val="both"/>
        <w:rPr>
          <w:lang w:val="en-US"/>
        </w:rPr>
      </w:pPr>
      <w:r w:rsidRPr="008D022D">
        <w:rPr>
          <w:lang w:val="en-US"/>
        </w:rPr>
        <w:lastRenderedPageBreak/>
        <w:t>Identify potential free-zone areas within the country</w:t>
      </w:r>
      <w:r w:rsidR="001E1A55" w:rsidRPr="008D022D">
        <w:rPr>
          <w:lang w:val="en-US"/>
        </w:rPr>
        <w:t xml:space="preserve">: </w:t>
      </w:r>
      <w:r w:rsidR="00C31FB3" w:rsidRPr="008D022D">
        <w:rPr>
          <w:lang w:val="en-US"/>
        </w:rPr>
        <w:t xml:space="preserve">In certain cases, it may be necessary to use free-zone areas to incentivize private-sector led electrification. </w:t>
      </w:r>
      <w:r w:rsidR="008A64B0" w:rsidRPr="008D022D">
        <w:rPr>
          <w:lang w:val="en-US"/>
        </w:rPr>
        <w:t>The Consultant</w:t>
      </w:r>
      <w:r w:rsidR="00C31FB3" w:rsidRPr="008D022D">
        <w:rPr>
          <w:lang w:val="en-US"/>
        </w:rPr>
        <w:t xml:space="preserve"> is expected to explore the feasibility of designing these free-zone areas using the data collected in Task</w:t>
      </w:r>
      <w:r w:rsidR="00007A05" w:rsidRPr="008D022D">
        <w:rPr>
          <w:lang w:val="en-US"/>
        </w:rPr>
        <w:t>s</w:t>
      </w:r>
      <w:r w:rsidR="00C31FB3" w:rsidRPr="008D022D">
        <w:rPr>
          <w:lang w:val="en-US"/>
        </w:rPr>
        <w:t xml:space="preserve"> A</w:t>
      </w:r>
      <w:r w:rsidR="00007A05" w:rsidRPr="008D022D">
        <w:rPr>
          <w:lang w:val="en-US"/>
        </w:rPr>
        <w:t xml:space="preserve"> and B</w:t>
      </w:r>
      <w:r w:rsidR="00C31FB3" w:rsidRPr="008D022D">
        <w:rPr>
          <w:lang w:val="en-US"/>
        </w:rPr>
        <w:t>. Particular attention should be paid to demonstrating how these free-zones could be used to complement the tier-based subsidy approach discussed above.</w:t>
      </w:r>
    </w:p>
    <w:p w14:paraId="3CF51CC2" w14:textId="1F205149" w:rsidR="00C31FB3" w:rsidRPr="008D022D" w:rsidRDefault="00C31FB3" w:rsidP="009B1743">
      <w:pPr>
        <w:numPr>
          <w:ilvl w:val="0"/>
          <w:numId w:val="3"/>
        </w:numPr>
        <w:spacing w:after="240"/>
        <w:jc w:val="both"/>
        <w:rPr>
          <w:lang w:val="en-US"/>
        </w:rPr>
      </w:pPr>
      <w:r w:rsidRPr="008D022D">
        <w:rPr>
          <w:lang w:val="en-US"/>
        </w:rPr>
        <w:t>Develop</w:t>
      </w:r>
      <w:r w:rsidR="00C45A9D" w:rsidRPr="008D022D">
        <w:rPr>
          <w:lang w:val="en-US"/>
        </w:rPr>
        <w:t xml:space="preserve"> a preliminary list of </w:t>
      </w:r>
      <w:r w:rsidRPr="008D022D">
        <w:rPr>
          <w:lang w:val="en-US"/>
        </w:rPr>
        <w:t xml:space="preserve">potential mini-grid </w:t>
      </w:r>
      <w:r w:rsidR="00C45A9D" w:rsidRPr="008D022D">
        <w:rPr>
          <w:lang w:val="en-US"/>
        </w:rPr>
        <w:t>sites that can be utilized for cross-country minimum subsidy</w:t>
      </w:r>
      <w:r w:rsidR="00BC35A3" w:rsidRPr="008D022D">
        <w:rPr>
          <w:lang w:val="en-US"/>
        </w:rPr>
        <w:t xml:space="preserve"> tenders</w:t>
      </w:r>
      <w:r w:rsidR="00C45A9D" w:rsidRPr="008D022D">
        <w:rPr>
          <w:lang w:val="en-US"/>
        </w:rPr>
        <w:t>.</w:t>
      </w:r>
      <w:r w:rsidRPr="008D022D">
        <w:rPr>
          <w:lang w:val="en-US"/>
        </w:rPr>
        <w:t xml:space="preserve"> Aggregated sites into lots suitable for tendering.</w:t>
      </w:r>
    </w:p>
    <w:p w14:paraId="00000020" w14:textId="2FFF9A1F" w:rsidR="001E0177" w:rsidRPr="008D022D" w:rsidRDefault="00007A05" w:rsidP="009B1743">
      <w:pPr>
        <w:pStyle w:val="ListParagraph"/>
        <w:numPr>
          <w:ilvl w:val="0"/>
          <w:numId w:val="3"/>
        </w:numPr>
        <w:spacing w:after="240"/>
        <w:jc w:val="both"/>
      </w:pPr>
      <w:r w:rsidRPr="008D022D">
        <w:t>The Consultant</w:t>
      </w:r>
      <w:r w:rsidR="00C31FB3" w:rsidRPr="008D022D">
        <w:t xml:space="preserve"> will evaluate the feasibility, advantages, and potential challenges of each approach to inform recommendations on the most effective design for the program</w:t>
      </w:r>
      <w:r w:rsidR="00364B67" w:rsidRPr="008D022D">
        <w:t xml:space="preserve">, </w:t>
      </w:r>
      <w:r w:rsidR="00E46691" w:rsidRPr="008D022D">
        <w:t>while ensuring that</w:t>
      </w:r>
      <w:r w:rsidR="00750DBB" w:rsidRPr="008D022D">
        <w:t xml:space="preserve"> the different approaches</w:t>
      </w:r>
      <w:r w:rsidR="00E46691" w:rsidRPr="008D022D">
        <w:t xml:space="preserve"> complement each other</w:t>
      </w:r>
      <w:r w:rsidR="00C31FB3" w:rsidRPr="008D022D">
        <w:t>.</w:t>
      </w:r>
    </w:p>
    <w:p w14:paraId="00000021" w14:textId="77777777" w:rsidR="001E0177" w:rsidRPr="008D022D" w:rsidRDefault="00C45A9D" w:rsidP="00C0312D">
      <w:pPr>
        <w:spacing w:before="240" w:after="240"/>
        <w:jc w:val="both"/>
        <w:rPr>
          <w:b/>
        </w:rPr>
      </w:pPr>
      <w:r w:rsidRPr="008D022D">
        <w:t xml:space="preserve">(D) </w:t>
      </w:r>
      <w:r w:rsidRPr="008D022D">
        <w:rPr>
          <w:b/>
        </w:rPr>
        <w:t>Prepare data platform and reports</w:t>
      </w:r>
    </w:p>
    <w:p w14:paraId="00000022" w14:textId="64457FBD" w:rsidR="001E0177" w:rsidRPr="008D022D" w:rsidRDefault="634E55E3" w:rsidP="009B1743">
      <w:pPr>
        <w:numPr>
          <w:ilvl w:val="0"/>
          <w:numId w:val="4"/>
        </w:numPr>
        <w:spacing w:before="240" w:after="240"/>
        <w:jc w:val="both"/>
      </w:pPr>
      <w:r w:rsidRPr="008D022D">
        <w:rPr>
          <w:lang w:val="en-US"/>
        </w:rPr>
        <w:t xml:space="preserve">All of the above tasks should be visualized in the M300 DRE based software platform.  </w:t>
      </w:r>
      <w:r w:rsidR="7D7F2C5B" w:rsidRPr="008D022D">
        <w:rPr>
          <w:lang w:val="en-US"/>
        </w:rPr>
        <w:t>A</w:t>
      </w:r>
      <w:r w:rsidRPr="008D022D">
        <w:rPr>
          <w:lang w:val="en-US"/>
        </w:rPr>
        <w:t xml:space="preserve">ccess </w:t>
      </w:r>
      <w:r w:rsidR="7D7F2C5B" w:rsidRPr="008D022D">
        <w:rPr>
          <w:lang w:val="en-US"/>
        </w:rPr>
        <w:t>rights to</w:t>
      </w:r>
      <w:r w:rsidRPr="008D022D">
        <w:rPr>
          <w:lang w:val="en-US"/>
        </w:rPr>
        <w:t xml:space="preserve"> the software platform should be provided to the World Bank team</w:t>
      </w:r>
      <w:r w:rsidR="4D2579BD" w:rsidRPr="008D022D">
        <w:rPr>
          <w:lang w:val="en-US"/>
        </w:rPr>
        <w:t>. Access should be made available for up to five (5) users per country.</w:t>
      </w:r>
      <w:r w:rsidR="7D7F2C5B" w:rsidRPr="008D022D">
        <w:rPr>
          <w:lang w:val="en-US"/>
        </w:rPr>
        <w:t xml:space="preserve">  </w:t>
      </w:r>
    </w:p>
    <w:p w14:paraId="00000023" w14:textId="77777777" w:rsidR="001E0177" w:rsidRPr="008D022D" w:rsidRDefault="00C45A9D" w:rsidP="009B1743">
      <w:pPr>
        <w:numPr>
          <w:ilvl w:val="0"/>
          <w:numId w:val="4"/>
        </w:numPr>
        <w:spacing w:after="240"/>
        <w:jc w:val="both"/>
        <w:rPr>
          <w:b/>
        </w:rPr>
      </w:pPr>
      <w:r w:rsidRPr="008D022D">
        <w:rPr>
          <w:b/>
        </w:rPr>
        <w:t xml:space="preserve">Prepare reports with details on the following: </w:t>
      </w:r>
    </w:p>
    <w:p w14:paraId="00000024" w14:textId="6420E2EE" w:rsidR="001E0177" w:rsidRPr="008D022D" w:rsidRDefault="19C43F1F" w:rsidP="009B1743">
      <w:pPr>
        <w:numPr>
          <w:ilvl w:val="1"/>
          <w:numId w:val="4"/>
        </w:numPr>
        <w:spacing w:after="240"/>
        <w:jc w:val="both"/>
      </w:pPr>
      <w:r w:rsidRPr="008D022D">
        <w:rPr>
          <w:lang w:val="en-US"/>
        </w:rPr>
        <w:t xml:space="preserve">An executive summary on markets for DRE </w:t>
      </w:r>
      <w:r w:rsidR="522ACA61" w:rsidRPr="008D022D">
        <w:rPr>
          <w:lang w:val="en-US"/>
        </w:rPr>
        <w:t xml:space="preserve">technologies in </w:t>
      </w:r>
      <w:r w:rsidRPr="008D022D">
        <w:rPr>
          <w:lang w:val="en-US"/>
        </w:rPr>
        <w:t>the region</w:t>
      </w:r>
      <w:r w:rsidR="522ACA61" w:rsidRPr="008D022D">
        <w:rPr>
          <w:lang w:val="en-US"/>
        </w:rPr>
        <w:t xml:space="preserve">, including </w:t>
      </w:r>
      <w:r w:rsidR="28B41EE7" w:rsidRPr="008D022D">
        <w:rPr>
          <w:lang w:val="en-US"/>
        </w:rPr>
        <w:t xml:space="preserve">current level of deployment, market potential, </w:t>
      </w:r>
      <w:r w:rsidR="67C382D6" w:rsidRPr="008D022D">
        <w:rPr>
          <w:lang w:val="en-US"/>
        </w:rPr>
        <w:t>and key players and their activities.</w:t>
      </w:r>
    </w:p>
    <w:p w14:paraId="00000025" w14:textId="5CAEC197" w:rsidR="001E0177" w:rsidRPr="008D022D" w:rsidRDefault="00C45A9D" w:rsidP="009B1743">
      <w:pPr>
        <w:numPr>
          <w:ilvl w:val="1"/>
          <w:numId w:val="4"/>
        </w:numPr>
        <w:spacing w:after="240"/>
        <w:jc w:val="both"/>
      </w:pPr>
      <w:r w:rsidRPr="008D022D">
        <w:rPr>
          <w:lang w:val="en-US"/>
        </w:rPr>
        <w:t xml:space="preserve">Executive summary of </w:t>
      </w:r>
      <w:r w:rsidR="00343DA2" w:rsidRPr="008D022D">
        <w:rPr>
          <w:lang w:val="en-US"/>
        </w:rPr>
        <w:t>describing the g</w:t>
      </w:r>
      <w:r w:rsidR="00DB7731" w:rsidRPr="008D022D">
        <w:rPr>
          <w:lang w:val="en-US"/>
        </w:rPr>
        <w:t xml:space="preserve">eospatial </w:t>
      </w:r>
      <w:r w:rsidRPr="008D022D">
        <w:rPr>
          <w:lang w:val="en-US"/>
        </w:rPr>
        <w:t>data</w:t>
      </w:r>
      <w:r w:rsidR="00095F7B" w:rsidRPr="008D022D">
        <w:rPr>
          <w:lang w:val="en-US"/>
        </w:rPr>
        <w:t>base</w:t>
      </w:r>
      <w:r w:rsidR="0029557B" w:rsidRPr="008D022D">
        <w:rPr>
          <w:lang w:val="en-US"/>
        </w:rPr>
        <w:t xml:space="preserve"> and platform</w:t>
      </w:r>
      <w:r w:rsidR="00DB7731" w:rsidRPr="008D022D">
        <w:rPr>
          <w:lang w:val="en-US"/>
        </w:rPr>
        <w:t xml:space="preserve"> comp</w:t>
      </w:r>
      <w:r w:rsidR="0029557B" w:rsidRPr="008D022D">
        <w:rPr>
          <w:lang w:val="en-US"/>
        </w:rPr>
        <w:t>i</w:t>
      </w:r>
      <w:r w:rsidR="00DB7731" w:rsidRPr="008D022D">
        <w:rPr>
          <w:lang w:val="en-US"/>
        </w:rPr>
        <w:t>led by the Consultant, as well as key insights that can be derived from it to</w:t>
      </w:r>
      <w:r w:rsidRPr="008D022D">
        <w:rPr>
          <w:lang w:val="en-US"/>
        </w:rPr>
        <w:t xml:space="preserve"> </w:t>
      </w:r>
      <w:r w:rsidR="00DB7731" w:rsidRPr="008D022D">
        <w:rPr>
          <w:lang w:val="en-US"/>
        </w:rPr>
        <w:t>inform the design of</w:t>
      </w:r>
      <w:r w:rsidRPr="008D022D">
        <w:rPr>
          <w:lang w:val="en-US"/>
        </w:rPr>
        <w:t xml:space="preserve"> financing mechanisms</w:t>
      </w:r>
      <w:r w:rsidR="00DB7731" w:rsidRPr="008D022D">
        <w:rPr>
          <w:lang w:val="en-US"/>
        </w:rPr>
        <w:t xml:space="preserve"> for support of DRE technologies</w:t>
      </w:r>
      <w:r w:rsidRPr="008D022D">
        <w:rPr>
          <w:lang w:val="en-US"/>
        </w:rPr>
        <w:t xml:space="preserve">. </w:t>
      </w:r>
    </w:p>
    <w:p w14:paraId="00000026" w14:textId="66A0C55B" w:rsidR="001E0177" w:rsidRPr="008D022D" w:rsidRDefault="19C43F1F" w:rsidP="009B1743">
      <w:pPr>
        <w:numPr>
          <w:ilvl w:val="1"/>
          <w:numId w:val="4"/>
        </w:numPr>
        <w:spacing w:after="240"/>
        <w:jc w:val="both"/>
      </w:pPr>
      <w:r w:rsidRPr="008D022D">
        <w:rPr>
          <w:lang w:val="en-US"/>
        </w:rPr>
        <w:t xml:space="preserve">Detailed report on </w:t>
      </w:r>
      <w:r w:rsidR="310980B0" w:rsidRPr="008D022D">
        <w:rPr>
          <w:lang w:val="en-US"/>
        </w:rPr>
        <w:t>different options for the design and</w:t>
      </w:r>
      <w:r w:rsidRPr="008D022D">
        <w:rPr>
          <w:lang w:val="en-US"/>
        </w:rPr>
        <w:t xml:space="preserve"> </w:t>
      </w:r>
      <w:r w:rsidR="0B0EA455" w:rsidRPr="008D022D">
        <w:rPr>
          <w:lang w:val="en-US"/>
        </w:rPr>
        <w:t>implement</w:t>
      </w:r>
      <w:r w:rsidR="310980B0" w:rsidRPr="008D022D">
        <w:rPr>
          <w:lang w:val="en-US"/>
        </w:rPr>
        <w:t>ation of</w:t>
      </w:r>
      <w:r w:rsidRPr="008D022D">
        <w:rPr>
          <w:lang w:val="en-US"/>
        </w:rPr>
        <w:t xml:space="preserve"> financial mechanisms </w:t>
      </w:r>
      <w:r w:rsidR="797D9FCE" w:rsidRPr="008D022D">
        <w:rPr>
          <w:lang w:val="en-US"/>
        </w:rPr>
        <w:t xml:space="preserve">to support DRE technologies </w:t>
      </w:r>
      <w:r w:rsidRPr="008D022D">
        <w:rPr>
          <w:lang w:val="en-US"/>
        </w:rPr>
        <w:t>in the region</w:t>
      </w:r>
      <w:r w:rsidR="430EACBC" w:rsidRPr="008D022D">
        <w:rPr>
          <w:lang w:val="en-US"/>
        </w:rPr>
        <w:t>, as well as recommendations for the most suitable option</w:t>
      </w:r>
      <w:r w:rsidRPr="008D022D">
        <w:rPr>
          <w:lang w:val="en-US"/>
        </w:rPr>
        <w:t xml:space="preserve">. </w:t>
      </w:r>
    </w:p>
    <w:p w14:paraId="00000028" w14:textId="1B1F548F" w:rsidR="001E0177" w:rsidRPr="00EE08FB" w:rsidRDefault="00C45A9D" w:rsidP="006D4044">
      <w:pPr>
        <w:numPr>
          <w:ilvl w:val="1"/>
          <w:numId w:val="4"/>
        </w:numPr>
        <w:spacing w:after="240"/>
        <w:jc w:val="both"/>
      </w:pPr>
      <w:r w:rsidRPr="008D022D">
        <w:rPr>
          <w:lang w:val="en-US"/>
        </w:rPr>
        <w:t xml:space="preserve">Country-by-country short report/live-wire (3-5 pages) providing a quick snapshot of the </w:t>
      </w:r>
      <w:r w:rsidR="00087643" w:rsidRPr="008D022D">
        <w:rPr>
          <w:lang w:val="en-US"/>
        </w:rPr>
        <w:t xml:space="preserve">DRE </w:t>
      </w:r>
      <w:r w:rsidRPr="008D022D">
        <w:rPr>
          <w:lang w:val="en-US"/>
        </w:rPr>
        <w:t xml:space="preserve">market, </w:t>
      </w:r>
      <w:r w:rsidR="00087643" w:rsidRPr="008D022D">
        <w:rPr>
          <w:lang w:val="en-US"/>
        </w:rPr>
        <w:t>sectoral context for electricity access</w:t>
      </w:r>
      <w:r w:rsidR="408D1ABA" w:rsidRPr="008D022D">
        <w:rPr>
          <w:lang w:val="en-US"/>
        </w:rPr>
        <w:t>, potential</w:t>
      </w:r>
      <w:r w:rsidRPr="008D022D">
        <w:rPr>
          <w:lang w:val="en-US"/>
        </w:rPr>
        <w:t xml:space="preserve"> financing mechanisms and </w:t>
      </w:r>
      <w:r w:rsidR="00936F61" w:rsidRPr="008D022D">
        <w:rPr>
          <w:lang w:val="en-US"/>
        </w:rPr>
        <w:t>potential</w:t>
      </w:r>
      <w:r w:rsidRPr="008D022D">
        <w:rPr>
          <w:lang w:val="en-US"/>
        </w:rPr>
        <w:t xml:space="preserve"> sites for minimum subsidy tenders across the region. </w:t>
      </w:r>
    </w:p>
    <w:p w14:paraId="73EB548D" w14:textId="77777777" w:rsidR="00EE08FB" w:rsidRDefault="00EE08FB" w:rsidP="00EE08FB">
      <w:pPr>
        <w:spacing w:after="240"/>
        <w:jc w:val="both"/>
        <w:rPr>
          <w:lang w:val="en-US"/>
        </w:rPr>
      </w:pPr>
    </w:p>
    <w:p w14:paraId="71271B50" w14:textId="77777777" w:rsidR="00EE08FB" w:rsidRDefault="00EE08FB" w:rsidP="00EE08FB">
      <w:pPr>
        <w:spacing w:after="240"/>
        <w:jc w:val="both"/>
        <w:rPr>
          <w:lang w:val="en-US"/>
        </w:rPr>
      </w:pPr>
    </w:p>
    <w:p w14:paraId="04EEB7EF" w14:textId="77777777" w:rsidR="00EE08FB" w:rsidRDefault="00EE08FB" w:rsidP="00EE08FB">
      <w:pPr>
        <w:spacing w:after="240"/>
        <w:jc w:val="both"/>
        <w:rPr>
          <w:lang w:val="en-US"/>
        </w:rPr>
      </w:pPr>
    </w:p>
    <w:p w14:paraId="541E270D" w14:textId="77777777" w:rsidR="00EE08FB" w:rsidRDefault="00EE08FB" w:rsidP="00EE08FB">
      <w:pPr>
        <w:spacing w:after="240"/>
        <w:jc w:val="both"/>
        <w:rPr>
          <w:lang w:val="en-US"/>
        </w:rPr>
      </w:pPr>
    </w:p>
    <w:p w14:paraId="091702EE" w14:textId="77777777" w:rsidR="00EE08FB" w:rsidRPr="008D022D" w:rsidRDefault="00EE08FB" w:rsidP="00EE08FB">
      <w:pPr>
        <w:spacing w:after="240"/>
        <w:jc w:val="both"/>
      </w:pPr>
    </w:p>
    <w:p w14:paraId="3C304DE2" w14:textId="77777777" w:rsidR="00EE08FB" w:rsidRDefault="00EE08FB" w:rsidP="00EE08FB">
      <w:pPr>
        <w:jc w:val="both"/>
        <w:rPr>
          <w:b/>
        </w:rPr>
      </w:pPr>
      <w:r w:rsidRPr="00EE08FB">
        <w:rPr>
          <w:b/>
        </w:rPr>
        <w:lastRenderedPageBreak/>
        <w:t xml:space="preserve">IV. </w:t>
      </w:r>
      <w:r w:rsidR="004623A3" w:rsidRPr="00EE08FB">
        <w:rPr>
          <w:b/>
        </w:rPr>
        <w:t>Deliverables and Timeline</w:t>
      </w:r>
    </w:p>
    <w:p w14:paraId="46A60FE8" w14:textId="77777777" w:rsidR="00EE08FB" w:rsidRDefault="00EE08FB" w:rsidP="00EE08FB">
      <w:pPr>
        <w:jc w:val="both"/>
        <w:rPr>
          <w:b/>
        </w:rPr>
      </w:pPr>
    </w:p>
    <w:p w14:paraId="0E1421FD" w14:textId="2428A747" w:rsidR="00EE08FB" w:rsidRPr="00EE08FB" w:rsidRDefault="00EE08FB" w:rsidP="00EE08FB">
      <w:pPr>
        <w:jc w:val="both"/>
        <w:rPr>
          <w:b/>
        </w:rPr>
      </w:pPr>
      <w:r w:rsidRPr="1CE5A3D7">
        <w:rPr>
          <w:rFonts w:eastAsiaTheme="minorEastAsia"/>
          <w:color w:val="000000" w:themeColor="text1"/>
          <w:lang w:val="en-US"/>
        </w:rPr>
        <w:t>This project would be carried out in many steps.</w:t>
      </w:r>
    </w:p>
    <w:p w14:paraId="7BD3F969" w14:textId="77777777" w:rsidR="00EE08FB" w:rsidRPr="00EE08FB" w:rsidRDefault="00EE08FB" w:rsidP="009B1743">
      <w:pPr>
        <w:jc w:val="both"/>
        <w:rPr>
          <w:b/>
        </w:rPr>
      </w:pPr>
    </w:p>
    <w:p w14:paraId="49D615DA" w14:textId="77777777" w:rsidR="00EE08FB" w:rsidRPr="008D022D" w:rsidRDefault="00EE08FB" w:rsidP="009B1743">
      <w:pPr>
        <w:jc w:val="both"/>
        <w:rPr>
          <w:b/>
          <w:u w:val="single"/>
        </w:rPr>
      </w:pPr>
    </w:p>
    <w:tbl>
      <w:tblPr>
        <w:tblStyle w:val="TableGrid"/>
        <w:tblW w:w="0" w:type="auto"/>
        <w:tblLook w:val="0000" w:firstRow="0" w:lastRow="0" w:firstColumn="0" w:lastColumn="0" w:noHBand="0" w:noVBand="0"/>
      </w:tblPr>
      <w:tblGrid>
        <w:gridCol w:w="7107"/>
        <w:gridCol w:w="1109"/>
        <w:gridCol w:w="1134"/>
      </w:tblGrid>
      <w:tr w:rsidR="004623A3" w:rsidRPr="008D022D" w14:paraId="2D70F888" w14:textId="77777777">
        <w:trPr>
          <w:trHeight w:val="233"/>
        </w:trPr>
        <w:tc>
          <w:tcPr>
            <w:tcW w:w="0" w:type="auto"/>
          </w:tcPr>
          <w:p w14:paraId="1910D282" w14:textId="77777777" w:rsidR="004623A3" w:rsidRPr="008D022D" w:rsidRDefault="004623A3">
            <w:pPr>
              <w:jc w:val="both"/>
              <w:rPr>
                <w:rFonts w:ascii="Arial" w:hAnsi="Arial" w:cs="Arial"/>
                <w:b/>
              </w:rPr>
            </w:pPr>
            <w:r w:rsidRPr="008D022D">
              <w:rPr>
                <w:rFonts w:ascii="Arial" w:hAnsi="Arial" w:cs="Arial"/>
                <w:b/>
              </w:rPr>
              <w:t xml:space="preserve">Deliverables </w:t>
            </w:r>
          </w:p>
        </w:tc>
        <w:tc>
          <w:tcPr>
            <w:tcW w:w="0" w:type="auto"/>
          </w:tcPr>
          <w:p w14:paraId="3568787A" w14:textId="77777777" w:rsidR="004623A3" w:rsidRPr="008D022D" w:rsidRDefault="004623A3">
            <w:pPr>
              <w:jc w:val="both"/>
              <w:rPr>
                <w:rFonts w:ascii="Arial" w:hAnsi="Arial" w:cs="Arial"/>
                <w:b/>
              </w:rPr>
            </w:pPr>
            <w:r w:rsidRPr="008D022D">
              <w:rPr>
                <w:rFonts w:ascii="Arial" w:hAnsi="Arial" w:cs="Arial"/>
                <w:b/>
              </w:rPr>
              <w:t>Timeline</w:t>
            </w:r>
          </w:p>
        </w:tc>
        <w:tc>
          <w:tcPr>
            <w:tcW w:w="0" w:type="auto"/>
          </w:tcPr>
          <w:p w14:paraId="03E2C374" w14:textId="77777777" w:rsidR="004623A3" w:rsidRPr="008D022D" w:rsidRDefault="004623A3">
            <w:pPr>
              <w:jc w:val="both"/>
              <w:rPr>
                <w:rFonts w:ascii="Arial" w:hAnsi="Arial" w:cs="Arial"/>
                <w:b/>
              </w:rPr>
            </w:pPr>
            <w:r w:rsidRPr="008D022D">
              <w:rPr>
                <w:rFonts w:ascii="Arial" w:hAnsi="Arial" w:cs="Arial"/>
                <w:b/>
              </w:rPr>
              <w:t xml:space="preserve">Payment </w:t>
            </w:r>
          </w:p>
        </w:tc>
      </w:tr>
      <w:tr w:rsidR="004623A3" w:rsidRPr="008D022D" w14:paraId="795ED16F" w14:textId="77777777">
        <w:trPr>
          <w:trHeight w:val="109"/>
        </w:trPr>
        <w:tc>
          <w:tcPr>
            <w:tcW w:w="0" w:type="auto"/>
          </w:tcPr>
          <w:p w14:paraId="61FB4681" w14:textId="77777777" w:rsidR="004623A3" w:rsidRPr="008D022D" w:rsidRDefault="004623A3">
            <w:pPr>
              <w:jc w:val="both"/>
              <w:rPr>
                <w:rFonts w:ascii="Arial" w:hAnsi="Arial" w:cs="Arial"/>
              </w:rPr>
            </w:pPr>
            <w:r w:rsidRPr="008D022D">
              <w:rPr>
                <w:rFonts w:ascii="Arial" w:hAnsi="Arial" w:cs="Arial"/>
              </w:rPr>
              <w:t xml:space="preserve">Inception report </w:t>
            </w:r>
          </w:p>
        </w:tc>
        <w:tc>
          <w:tcPr>
            <w:tcW w:w="0" w:type="auto"/>
          </w:tcPr>
          <w:p w14:paraId="7FCCBF8A" w14:textId="77777777" w:rsidR="004623A3" w:rsidRPr="008D022D" w:rsidRDefault="004623A3">
            <w:pPr>
              <w:jc w:val="both"/>
              <w:rPr>
                <w:rFonts w:ascii="Arial" w:hAnsi="Arial" w:cs="Arial"/>
              </w:rPr>
            </w:pPr>
            <w:r w:rsidRPr="008D022D">
              <w:rPr>
                <w:rFonts w:ascii="Arial" w:hAnsi="Arial" w:cs="Arial"/>
              </w:rPr>
              <w:t>Week 2</w:t>
            </w:r>
          </w:p>
        </w:tc>
        <w:tc>
          <w:tcPr>
            <w:tcW w:w="0" w:type="auto"/>
          </w:tcPr>
          <w:p w14:paraId="6CDD1AEC" w14:textId="77777777" w:rsidR="004623A3" w:rsidRPr="008D022D" w:rsidRDefault="004623A3">
            <w:pPr>
              <w:jc w:val="both"/>
              <w:rPr>
                <w:rFonts w:ascii="Arial" w:hAnsi="Arial" w:cs="Arial"/>
              </w:rPr>
            </w:pPr>
            <w:r w:rsidRPr="008D022D">
              <w:rPr>
                <w:rFonts w:ascii="Arial" w:hAnsi="Arial" w:cs="Arial"/>
              </w:rPr>
              <w:t xml:space="preserve">10% </w:t>
            </w:r>
          </w:p>
        </w:tc>
      </w:tr>
      <w:tr w:rsidR="004623A3" w:rsidRPr="008D022D" w14:paraId="48892F1C" w14:textId="77777777">
        <w:trPr>
          <w:trHeight w:val="109"/>
        </w:trPr>
        <w:tc>
          <w:tcPr>
            <w:tcW w:w="0" w:type="auto"/>
          </w:tcPr>
          <w:p w14:paraId="45957959" w14:textId="6B24A8C8" w:rsidR="004623A3" w:rsidRPr="008D022D" w:rsidRDefault="004623A3">
            <w:pPr>
              <w:jc w:val="both"/>
              <w:rPr>
                <w:rFonts w:ascii="Arial" w:hAnsi="Arial" w:cs="Arial"/>
              </w:rPr>
            </w:pPr>
            <w:r w:rsidRPr="008D022D">
              <w:rPr>
                <w:rFonts w:ascii="Arial" w:hAnsi="Arial" w:cs="Arial"/>
              </w:rPr>
              <w:t xml:space="preserve">Draft report – </w:t>
            </w:r>
            <w:r w:rsidR="008F052D" w:rsidRPr="008D022D">
              <w:rPr>
                <w:rFonts w:ascii="Arial" w:hAnsi="Arial" w:cs="Arial"/>
              </w:rPr>
              <w:t>executive summary on markets for DRE technologies</w:t>
            </w:r>
          </w:p>
        </w:tc>
        <w:tc>
          <w:tcPr>
            <w:tcW w:w="0" w:type="auto"/>
          </w:tcPr>
          <w:p w14:paraId="125D2613" w14:textId="77777777" w:rsidR="004623A3" w:rsidRPr="008D022D" w:rsidRDefault="004623A3">
            <w:pPr>
              <w:jc w:val="both"/>
              <w:rPr>
                <w:rFonts w:ascii="Arial" w:hAnsi="Arial" w:cs="Arial"/>
              </w:rPr>
            </w:pPr>
            <w:r w:rsidRPr="008D022D">
              <w:rPr>
                <w:rFonts w:ascii="Arial" w:hAnsi="Arial" w:cs="Arial"/>
              </w:rPr>
              <w:t>Week 8</w:t>
            </w:r>
          </w:p>
        </w:tc>
        <w:tc>
          <w:tcPr>
            <w:tcW w:w="0" w:type="auto"/>
          </w:tcPr>
          <w:p w14:paraId="1A8A591B" w14:textId="77777777" w:rsidR="004623A3" w:rsidRPr="008D022D" w:rsidRDefault="004623A3">
            <w:pPr>
              <w:jc w:val="both"/>
              <w:rPr>
                <w:rFonts w:ascii="Arial" w:hAnsi="Arial" w:cs="Arial"/>
              </w:rPr>
            </w:pPr>
            <w:r w:rsidRPr="008D022D">
              <w:rPr>
                <w:rFonts w:ascii="Arial" w:hAnsi="Arial" w:cs="Arial"/>
              </w:rPr>
              <w:t xml:space="preserve">10% </w:t>
            </w:r>
          </w:p>
        </w:tc>
      </w:tr>
      <w:tr w:rsidR="004623A3" w:rsidRPr="008D022D" w14:paraId="49F46B65" w14:textId="77777777">
        <w:trPr>
          <w:trHeight w:val="109"/>
        </w:trPr>
        <w:tc>
          <w:tcPr>
            <w:tcW w:w="0" w:type="auto"/>
          </w:tcPr>
          <w:p w14:paraId="51E117E4" w14:textId="1F5BC51F" w:rsidR="004623A3" w:rsidRPr="008D022D" w:rsidRDefault="004623A3">
            <w:pPr>
              <w:jc w:val="both"/>
              <w:rPr>
                <w:rFonts w:ascii="Arial" w:hAnsi="Arial" w:cs="Arial"/>
              </w:rPr>
            </w:pPr>
            <w:r w:rsidRPr="008D022D">
              <w:rPr>
                <w:rFonts w:ascii="Arial" w:hAnsi="Arial" w:cs="Arial"/>
              </w:rPr>
              <w:t>D</w:t>
            </w:r>
            <w:r w:rsidR="00FE1412" w:rsidRPr="008D022D">
              <w:rPr>
                <w:rFonts w:ascii="Arial" w:hAnsi="Arial" w:cs="Arial"/>
              </w:rPr>
              <w:t>atabase and d</w:t>
            </w:r>
            <w:r w:rsidRPr="008D022D">
              <w:rPr>
                <w:rFonts w:ascii="Arial" w:hAnsi="Arial" w:cs="Arial"/>
              </w:rPr>
              <w:t xml:space="preserve">raft report – </w:t>
            </w:r>
            <w:r w:rsidR="00FE1412" w:rsidRPr="008D022D">
              <w:rPr>
                <w:rFonts w:ascii="Arial" w:hAnsi="Arial" w:cs="Arial"/>
              </w:rPr>
              <w:t>executive summary of database and key insights</w:t>
            </w:r>
          </w:p>
        </w:tc>
        <w:tc>
          <w:tcPr>
            <w:tcW w:w="0" w:type="auto"/>
          </w:tcPr>
          <w:p w14:paraId="435E740C" w14:textId="1B13DDE7" w:rsidR="004623A3" w:rsidRPr="008D022D" w:rsidRDefault="004623A3">
            <w:pPr>
              <w:jc w:val="both"/>
              <w:rPr>
                <w:rFonts w:ascii="Arial" w:hAnsi="Arial" w:cs="Arial"/>
              </w:rPr>
            </w:pPr>
            <w:r w:rsidRPr="008D022D">
              <w:rPr>
                <w:rFonts w:ascii="Arial" w:hAnsi="Arial" w:cs="Arial"/>
              </w:rPr>
              <w:t xml:space="preserve">Week </w:t>
            </w:r>
            <w:r w:rsidR="0011621C" w:rsidRPr="008D022D">
              <w:rPr>
                <w:rFonts w:ascii="Arial" w:hAnsi="Arial" w:cs="Arial"/>
              </w:rPr>
              <w:t>16</w:t>
            </w:r>
          </w:p>
        </w:tc>
        <w:tc>
          <w:tcPr>
            <w:tcW w:w="0" w:type="auto"/>
          </w:tcPr>
          <w:p w14:paraId="1996D19E" w14:textId="77777777" w:rsidR="004623A3" w:rsidRPr="008D022D" w:rsidRDefault="004623A3">
            <w:pPr>
              <w:jc w:val="both"/>
              <w:rPr>
                <w:rFonts w:ascii="Arial" w:hAnsi="Arial" w:cs="Arial"/>
              </w:rPr>
            </w:pPr>
            <w:r w:rsidRPr="008D022D">
              <w:rPr>
                <w:rFonts w:ascii="Arial" w:hAnsi="Arial" w:cs="Arial"/>
              </w:rPr>
              <w:t xml:space="preserve">40% </w:t>
            </w:r>
          </w:p>
        </w:tc>
      </w:tr>
      <w:tr w:rsidR="004623A3" w:rsidRPr="008D022D" w14:paraId="2BA87A1C" w14:textId="77777777">
        <w:trPr>
          <w:trHeight w:val="109"/>
        </w:trPr>
        <w:tc>
          <w:tcPr>
            <w:tcW w:w="0" w:type="auto"/>
          </w:tcPr>
          <w:p w14:paraId="40C8E918" w14:textId="60F77419" w:rsidR="004623A3" w:rsidRPr="008D022D" w:rsidRDefault="004623A3">
            <w:pPr>
              <w:jc w:val="both"/>
              <w:rPr>
                <w:rFonts w:ascii="Arial" w:hAnsi="Arial" w:cs="Arial"/>
              </w:rPr>
            </w:pPr>
            <w:r w:rsidRPr="008D022D">
              <w:rPr>
                <w:rFonts w:ascii="Arial" w:hAnsi="Arial" w:cs="Arial"/>
              </w:rPr>
              <w:t>Draft repor</w:t>
            </w:r>
            <w:r w:rsidR="0083682E" w:rsidRPr="008D022D">
              <w:rPr>
                <w:rFonts w:ascii="Arial" w:hAnsi="Arial" w:cs="Arial"/>
              </w:rPr>
              <w:t>ts</w:t>
            </w:r>
            <w:r w:rsidRPr="008D022D">
              <w:rPr>
                <w:rFonts w:ascii="Arial" w:hAnsi="Arial" w:cs="Arial"/>
              </w:rPr>
              <w:t xml:space="preserve"> – </w:t>
            </w:r>
            <w:r w:rsidR="0004448C" w:rsidRPr="008D022D">
              <w:rPr>
                <w:rFonts w:ascii="Arial" w:hAnsi="Arial" w:cs="Arial"/>
              </w:rPr>
              <w:t>detailed report on financial mechanisms for DRE technologies</w:t>
            </w:r>
            <w:r w:rsidR="006D4044" w:rsidRPr="008D022D">
              <w:rPr>
                <w:rFonts w:ascii="Arial" w:hAnsi="Arial" w:cs="Arial"/>
              </w:rPr>
              <w:t xml:space="preserve"> and </w:t>
            </w:r>
            <w:r w:rsidR="00954CD3" w:rsidRPr="008D022D">
              <w:rPr>
                <w:rFonts w:ascii="Arial" w:hAnsi="Arial" w:cs="Arial"/>
              </w:rPr>
              <w:t>country-by-country</w:t>
            </w:r>
            <w:r w:rsidR="009B19F0" w:rsidRPr="008D022D">
              <w:rPr>
                <w:rFonts w:ascii="Arial" w:hAnsi="Arial" w:cs="Arial"/>
              </w:rPr>
              <w:t xml:space="preserve"> short reports</w:t>
            </w:r>
          </w:p>
        </w:tc>
        <w:tc>
          <w:tcPr>
            <w:tcW w:w="0" w:type="auto"/>
          </w:tcPr>
          <w:p w14:paraId="76A30AAB" w14:textId="13BC3173" w:rsidR="004623A3" w:rsidRPr="008D022D" w:rsidRDefault="004623A3">
            <w:pPr>
              <w:jc w:val="both"/>
              <w:rPr>
                <w:rFonts w:ascii="Arial" w:hAnsi="Arial" w:cs="Arial"/>
              </w:rPr>
            </w:pPr>
            <w:r w:rsidRPr="008D022D">
              <w:rPr>
                <w:rFonts w:ascii="Arial" w:hAnsi="Arial" w:cs="Arial"/>
              </w:rPr>
              <w:t xml:space="preserve">Week </w:t>
            </w:r>
            <w:r w:rsidR="0011621C" w:rsidRPr="008D022D">
              <w:rPr>
                <w:rFonts w:ascii="Arial" w:hAnsi="Arial" w:cs="Arial"/>
              </w:rPr>
              <w:t>24</w:t>
            </w:r>
          </w:p>
        </w:tc>
        <w:tc>
          <w:tcPr>
            <w:tcW w:w="0" w:type="auto"/>
          </w:tcPr>
          <w:p w14:paraId="67DD30DD" w14:textId="77777777" w:rsidR="004623A3" w:rsidRPr="008D022D" w:rsidRDefault="004623A3">
            <w:pPr>
              <w:jc w:val="both"/>
              <w:rPr>
                <w:rFonts w:ascii="Arial" w:hAnsi="Arial" w:cs="Arial"/>
              </w:rPr>
            </w:pPr>
            <w:r w:rsidRPr="008D022D">
              <w:rPr>
                <w:rFonts w:ascii="Arial" w:hAnsi="Arial" w:cs="Arial"/>
              </w:rPr>
              <w:t>40%</w:t>
            </w:r>
          </w:p>
        </w:tc>
      </w:tr>
    </w:tbl>
    <w:p w14:paraId="00000029" w14:textId="6A5AE22D" w:rsidR="001E0177" w:rsidRDefault="001E0177" w:rsidP="009B1743">
      <w:pPr>
        <w:jc w:val="both"/>
      </w:pPr>
    </w:p>
    <w:p w14:paraId="65B950E5" w14:textId="77777777" w:rsidR="00EE08FB" w:rsidRDefault="00EE08FB" w:rsidP="009B1743">
      <w:pPr>
        <w:jc w:val="both"/>
      </w:pPr>
    </w:p>
    <w:p w14:paraId="680FF85B" w14:textId="23708404" w:rsidR="00FA1F1A" w:rsidRDefault="00B04F4F" w:rsidP="009B1743">
      <w:pPr>
        <w:jc w:val="both"/>
        <w:rPr>
          <w:b/>
          <w:bCs/>
        </w:rPr>
      </w:pPr>
      <w:r>
        <w:t xml:space="preserve">V. </w:t>
      </w:r>
      <w:r w:rsidRPr="00935B8E">
        <w:rPr>
          <w:b/>
          <w:bCs/>
        </w:rPr>
        <w:t>Re</w:t>
      </w:r>
      <w:r w:rsidR="00FA1F1A">
        <w:rPr>
          <w:b/>
          <w:bCs/>
        </w:rPr>
        <w:t>quired Qualifications and Team Composition</w:t>
      </w:r>
    </w:p>
    <w:p w14:paraId="4AE1C792" w14:textId="77777777" w:rsidR="00FA1F1A" w:rsidRDefault="00FA1F1A" w:rsidP="009B1743">
      <w:pPr>
        <w:jc w:val="both"/>
        <w:rPr>
          <w:b/>
          <w:bCs/>
        </w:rPr>
      </w:pPr>
    </w:p>
    <w:p w14:paraId="2B67D5F8" w14:textId="77777777" w:rsidR="00FA1F1A" w:rsidRDefault="00FA1F1A" w:rsidP="00FA1F1A">
      <w:pPr>
        <w:jc w:val="both"/>
        <w:rPr>
          <w:rFonts w:eastAsia="Calibri"/>
          <w:i/>
          <w:iCs/>
          <w:lang w:val="en-US" w:eastAsia="en-US"/>
        </w:rPr>
      </w:pPr>
      <w:r w:rsidRPr="00FA1F1A">
        <w:rPr>
          <w:rFonts w:eastAsia="Calibri"/>
          <w:i/>
          <w:iCs/>
          <w:lang w:val="en-US" w:eastAsia="en-US"/>
        </w:rPr>
        <w:t xml:space="preserve">Firm Qualifications </w:t>
      </w:r>
    </w:p>
    <w:p w14:paraId="1F843AE3" w14:textId="77777777" w:rsidR="00FA1F1A" w:rsidRPr="00FA1F1A" w:rsidRDefault="00FA1F1A" w:rsidP="00FA1F1A">
      <w:pPr>
        <w:jc w:val="both"/>
        <w:rPr>
          <w:rFonts w:eastAsia="Calibri"/>
          <w:i/>
          <w:iCs/>
          <w:lang w:val="en-US" w:eastAsia="en-US"/>
        </w:rPr>
      </w:pPr>
    </w:p>
    <w:p w14:paraId="498842FD" w14:textId="77777777" w:rsidR="00FA1F1A" w:rsidRDefault="00FA1F1A" w:rsidP="00FA1F1A">
      <w:pPr>
        <w:jc w:val="both"/>
        <w:rPr>
          <w:rFonts w:eastAsia="Calibri"/>
          <w:lang w:val="en-US" w:eastAsia="en-US"/>
        </w:rPr>
      </w:pPr>
      <w:r w:rsidRPr="00FA1F1A">
        <w:rPr>
          <w:rFonts w:eastAsia="Calibri"/>
          <w:lang w:val="en-US" w:eastAsia="en-US"/>
        </w:rPr>
        <w:t xml:space="preserve">The Consultant should have demonstrated experience or expertise in the following: </w:t>
      </w:r>
    </w:p>
    <w:p w14:paraId="182557F7" w14:textId="77777777" w:rsidR="00BA2A30" w:rsidRPr="00FA1F1A" w:rsidRDefault="00BA2A30" w:rsidP="00FA1F1A">
      <w:pPr>
        <w:jc w:val="both"/>
        <w:rPr>
          <w:rFonts w:eastAsia="Calibri"/>
          <w:lang w:val="en-US" w:eastAsia="en-US"/>
        </w:rPr>
      </w:pPr>
    </w:p>
    <w:p w14:paraId="4F20CAC1" w14:textId="488F79BE" w:rsidR="00EB0718" w:rsidRPr="00EB0718" w:rsidRDefault="00FA1F1A" w:rsidP="00EB0718">
      <w:pPr>
        <w:numPr>
          <w:ilvl w:val="0"/>
          <w:numId w:val="3"/>
        </w:numPr>
        <w:spacing w:after="240"/>
        <w:jc w:val="both"/>
        <w:rPr>
          <w:lang w:val="en-US"/>
        </w:rPr>
      </w:pPr>
      <w:r w:rsidRPr="00FA1F1A">
        <w:rPr>
          <w:lang w:val="en-US"/>
        </w:rPr>
        <w:t xml:space="preserve">The Consultant should have off-grid electrification planning experience in at least 10 countries, including experience in Sub-Saharan Africa. </w:t>
      </w:r>
    </w:p>
    <w:p w14:paraId="5E9B377B" w14:textId="77777777" w:rsidR="001640FB" w:rsidRDefault="00FA1F1A" w:rsidP="001640FB">
      <w:pPr>
        <w:numPr>
          <w:ilvl w:val="0"/>
          <w:numId w:val="3"/>
        </w:numPr>
        <w:spacing w:after="240"/>
        <w:jc w:val="both"/>
        <w:rPr>
          <w:lang w:val="en-US"/>
        </w:rPr>
      </w:pPr>
      <w:r w:rsidRPr="00FA1F1A">
        <w:rPr>
          <w:lang w:val="en-US"/>
        </w:rPr>
        <w:t>The Consultant is expected to have substantial experience in mapping potential off-grid sites in the African context at the settlement</w:t>
      </w:r>
      <w:r w:rsidR="001640FB">
        <w:rPr>
          <w:lang w:val="en-US"/>
        </w:rPr>
        <w:t xml:space="preserve"> </w:t>
      </w:r>
      <w:r w:rsidRPr="00FA1F1A">
        <w:rPr>
          <w:lang w:val="en-US"/>
        </w:rPr>
        <w:t xml:space="preserve">level and experience in assessing mini grid viability in Sub-Saharan Africa in at least 10 countries. </w:t>
      </w:r>
    </w:p>
    <w:p w14:paraId="44701742" w14:textId="77777777" w:rsidR="001640FB" w:rsidRDefault="00FA1F1A" w:rsidP="001640FB">
      <w:pPr>
        <w:numPr>
          <w:ilvl w:val="0"/>
          <w:numId w:val="3"/>
        </w:numPr>
        <w:spacing w:after="240"/>
        <w:jc w:val="both"/>
        <w:rPr>
          <w:lang w:val="en-US"/>
        </w:rPr>
      </w:pPr>
      <w:r w:rsidRPr="00FA1F1A">
        <w:rPr>
          <w:rFonts w:eastAsia="Calibri"/>
          <w:lang w:val="en-US" w:eastAsia="en-US"/>
        </w:rPr>
        <w:t>The Consultant is expected to have substantial experience in analyzing big data</w:t>
      </w:r>
      <w:r w:rsidR="001640FB">
        <w:rPr>
          <w:rFonts w:eastAsia="Calibri"/>
          <w:lang w:val="en-US" w:eastAsia="en-US"/>
        </w:rPr>
        <w:t>,</w:t>
      </w:r>
      <w:r w:rsidRPr="00FA1F1A">
        <w:rPr>
          <w:rFonts w:eastAsia="Calibri"/>
          <w:lang w:val="en-US" w:eastAsia="en-US"/>
        </w:rPr>
        <w:t xml:space="preserve"> including geospatial and earth observation data using machine learning algorithms. </w:t>
      </w:r>
    </w:p>
    <w:p w14:paraId="30AB257A" w14:textId="77777777" w:rsidR="007C39B7" w:rsidRDefault="00FA1F1A" w:rsidP="007C39B7">
      <w:pPr>
        <w:numPr>
          <w:ilvl w:val="0"/>
          <w:numId w:val="3"/>
        </w:numPr>
        <w:spacing w:after="240"/>
        <w:jc w:val="both"/>
        <w:rPr>
          <w:lang w:val="en-US"/>
        </w:rPr>
      </w:pPr>
      <w:r w:rsidRPr="00FA1F1A">
        <w:rPr>
          <w:rFonts w:eastAsia="Calibri"/>
          <w:lang w:val="en-US" w:eastAsia="en-US"/>
        </w:rPr>
        <w:t xml:space="preserve">The Consultant should have at least 8 years of experience in delivering energy access projects. </w:t>
      </w:r>
    </w:p>
    <w:p w14:paraId="4B130740" w14:textId="77777777" w:rsidR="007C39B7" w:rsidRDefault="00FA1F1A" w:rsidP="007C39B7">
      <w:pPr>
        <w:numPr>
          <w:ilvl w:val="0"/>
          <w:numId w:val="3"/>
        </w:numPr>
        <w:spacing w:after="240"/>
        <w:jc w:val="both"/>
        <w:rPr>
          <w:lang w:val="en-US"/>
        </w:rPr>
      </w:pPr>
      <w:r w:rsidRPr="00FA1F1A">
        <w:rPr>
          <w:rFonts w:eastAsia="Calibri"/>
          <w:lang w:val="en-US" w:eastAsia="en-US"/>
        </w:rPr>
        <w:t>The Consultant should also have engaged with the World Bank and similar clients on rural</w:t>
      </w:r>
      <w:r w:rsidR="007C39B7">
        <w:rPr>
          <w:rFonts w:eastAsia="Calibri"/>
          <w:lang w:val="en-US" w:eastAsia="en-US"/>
        </w:rPr>
        <w:t xml:space="preserve"> </w:t>
      </w:r>
      <w:r w:rsidRPr="00FA1F1A">
        <w:rPr>
          <w:rFonts w:eastAsia="Calibri"/>
          <w:lang w:val="en-US" w:eastAsia="en-US"/>
        </w:rPr>
        <w:t xml:space="preserve">electrification market assessments. </w:t>
      </w:r>
    </w:p>
    <w:p w14:paraId="39EB459B" w14:textId="77777777" w:rsidR="007C39B7" w:rsidRDefault="00FA1F1A" w:rsidP="007C39B7">
      <w:pPr>
        <w:numPr>
          <w:ilvl w:val="0"/>
          <w:numId w:val="3"/>
        </w:numPr>
        <w:spacing w:after="240"/>
        <w:jc w:val="both"/>
        <w:rPr>
          <w:lang w:val="en-US"/>
        </w:rPr>
      </w:pPr>
      <w:r w:rsidRPr="00FA1F1A">
        <w:rPr>
          <w:rFonts w:eastAsia="Calibri"/>
          <w:lang w:val="en-US" w:eastAsia="en-US"/>
        </w:rPr>
        <w:t>The consultant is expected to have a proven algorithm that identifies clusters of different sizes</w:t>
      </w:r>
      <w:r w:rsidR="007C39B7">
        <w:rPr>
          <w:rFonts w:eastAsia="Calibri"/>
          <w:lang w:val="en-US" w:eastAsia="en-US"/>
        </w:rPr>
        <w:t>,</w:t>
      </w:r>
      <w:r w:rsidRPr="00FA1F1A">
        <w:rPr>
          <w:rFonts w:eastAsia="Calibri"/>
          <w:lang w:val="en-US" w:eastAsia="en-US"/>
        </w:rPr>
        <w:t xml:space="preserve"> including singular structures. The consultant should have experience running </w:t>
      </w:r>
      <w:r w:rsidR="007C39B7">
        <w:rPr>
          <w:rFonts w:eastAsia="Calibri"/>
          <w:lang w:val="en-US" w:eastAsia="en-US"/>
        </w:rPr>
        <w:t>the Global Electrification Platform (</w:t>
      </w:r>
      <w:r w:rsidRPr="00FA1F1A">
        <w:rPr>
          <w:rFonts w:eastAsia="Calibri"/>
          <w:lang w:val="en-US" w:eastAsia="en-US"/>
        </w:rPr>
        <w:t>GEP</w:t>
      </w:r>
      <w:r w:rsidR="007C39B7">
        <w:rPr>
          <w:rFonts w:eastAsia="Calibri"/>
          <w:lang w:val="en-US" w:eastAsia="en-US"/>
        </w:rPr>
        <w:t>)</w:t>
      </w:r>
      <w:r w:rsidRPr="00FA1F1A">
        <w:rPr>
          <w:rFonts w:eastAsia="Calibri"/>
          <w:lang w:val="en-US" w:eastAsia="en-US"/>
        </w:rPr>
        <w:t xml:space="preserve"> on their clusters in at least one country in Sub-Saharan Africa. </w:t>
      </w:r>
    </w:p>
    <w:p w14:paraId="6A839924" w14:textId="77777777" w:rsidR="007C39B7" w:rsidRDefault="00FA1F1A" w:rsidP="007C39B7">
      <w:pPr>
        <w:numPr>
          <w:ilvl w:val="0"/>
          <w:numId w:val="3"/>
        </w:numPr>
        <w:spacing w:after="240"/>
        <w:jc w:val="both"/>
        <w:rPr>
          <w:lang w:val="en-US"/>
        </w:rPr>
      </w:pPr>
      <w:r w:rsidRPr="00FA1F1A">
        <w:rPr>
          <w:rFonts w:eastAsia="Calibri"/>
          <w:lang w:val="en-US" w:eastAsia="en-US"/>
        </w:rPr>
        <w:t>The Consultant should have a strong team of software developers, front-end engineers, back-end engineers, machine learning engineers and data</w:t>
      </w:r>
      <w:r w:rsidR="007C39B7">
        <w:rPr>
          <w:rFonts w:eastAsia="Calibri"/>
          <w:lang w:val="en-US" w:eastAsia="en-US"/>
        </w:rPr>
        <w:t xml:space="preserve"> </w:t>
      </w:r>
      <w:r w:rsidRPr="00FA1F1A">
        <w:rPr>
          <w:rFonts w:eastAsia="Calibri"/>
          <w:lang w:val="en-US" w:eastAsia="en-US"/>
        </w:rPr>
        <w:t xml:space="preserve">scientists. </w:t>
      </w:r>
    </w:p>
    <w:p w14:paraId="2DB04451" w14:textId="6409E42E" w:rsidR="00FA1F1A" w:rsidRPr="00FA1F1A" w:rsidRDefault="00FA1F1A" w:rsidP="007C39B7">
      <w:pPr>
        <w:numPr>
          <w:ilvl w:val="0"/>
          <w:numId w:val="3"/>
        </w:numPr>
        <w:spacing w:after="240"/>
        <w:jc w:val="both"/>
        <w:rPr>
          <w:lang w:val="en-US"/>
        </w:rPr>
      </w:pPr>
      <w:r w:rsidRPr="00FA1F1A">
        <w:rPr>
          <w:rFonts w:eastAsia="Calibri"/>
          <w:lang w:val="en-US" w:eastAsia="en-US"/>
        </w:rPr>
        <w:t xml:space="preserve">The consultant should have experience building a cloud-native software platform that allows big data visualization, collaboration features, reporting and integration with other </w:t>
      </w:r>
      <w:r w:rsidRPr="00FA1F1A">
        <w:rPr>
          <w:rFonts w:eastAsia="Calibri"/>
          <w:lang w:val="en-US" w:eastAsia="en-US"/>
        </w:rPr>
        <w:lastRenderedPageBreak/>
        <w:t xml:space="preserve">software. The software should have a proven track record of being used for live operation in several sub-Saharan African countries. </w:t>
      </w:r>
    </w:p>
    <w:p w14:paraId="740736B8" w14:textId="76D62885" w:rsidR="005E74B7" w:rsidRPr="005E74B7" w:rsidRDefault="005E74B7" w:rsidP="005E74B7">
      <w:pPr>
        <w:numPr>
          <w:ilvl w:val="0"/>
          <w:numId w:val="3"/>
        </w:numPr>
        <w:spacing w:after="240"/>
        <w:jc w:val="both"/>
        <w:rPr>
          <w:rFonts w:eastAsia="Calibri"/>
          <w:lang w:val="en-US" w:eastAsia="en-US"/>
        </w:rPr>
      </w:pPr>
      <w:r w:rsidRPr="005E74B7">
        <w:rPr>
          <w:rFonts w:eastAsia="Calibri"/>
          <w:lang w:val="en-US" w:eastAsia="en-US"/>
        </w:rPr>
        <w:t xml:space="preserve">The consultant should have experience in at least 3 countries in Sub-Saharan Africa in providing licensed access to software for planning of energy access. </w:t>
      </w:r>
    </w:p>
    <w:p w14:paraId="53CB231C" w14:textId="526EFA86" w:rsidR="005E74B7" w:rsidRPr="005E74B7" w:rsidRDefault="005E74B7" w:rsidP="005E74B7">
      <w:pPr>
        <w:numPr>
          <w:ilvl w:val="0"/>
          <w:numId w:val="3"/>
        </w:numPr>
        <w:spacing w:after="240"/>
        <w:jc w:val="both"/>
        <w:rPr>
          <w:rFonts w:eastAsia="Calibri"/>
          <w:lang w:val="en-US" w:eastAsia="en-US"/>
        </w:rPr>
      </w:pPr>
      <w:r w:rsidRPr="005E74B7">
        <w:rPr>
          <w:rFonts w:eastAsia="Calibri"/>
          <w:lang w:val="en-US" w:eastAsia="en-US"/>
        </w:rPr>
        <w:t>The Consultant should use cloud-based GIS and document management, and applicable software experience includes Geoserver, PostGIS, Mapbox</w:t>
      </w:r>
      <w:r w:rsidR="00533520">
        <w:rPr>
          <w:rFonts w:eastAsia="Calibri"/>
          <w:lang w:val="en-US" w:eastAsia="en-US"/>
        </w:rPr>
        <w:t>-</w:t>
      </w:r>
      <w:r w:rsidRPr="005E74B7">
        <w:rPr>
          <w:rFonts w:eastAsia="Calibri"/>
          <w:lang w:val="en-US" w:eastAsia="en-US"/>
        </w:rPr>
        <w:t xml:space="preserve">based map visualizations, QGIS, OpenJump, ArcGIS, GRASS, big data analysis using python as well as power flow modeling and mini grid design software such as HOMER. </w:t>
      </w:r>
    </w:p>
    <w:p w14:paraId="4CCFA530" w14:textId="77777777" w:rsidR="005E74B7" w:rsidRPr="00FA1F1A" w:rsidRDefault="005E74B7" w:rsidP="005E74B7">
      <w:pPr>
        <w:jc w:val="both"/>
        <w:rPr>
          <w:rFonts w:eastAsia="Calibri"/>
          <w:lang w:val="en-US" w:eastAsia="en-US"/>
        </w:rPr>
      </w:pPr>
    </w:p>
    <w:p w14:paraId="0FBBDCBD" w14:textId="77777777" w:rsidR="008839A1" w:rsidRDefault="008839A1" w:rsidP="008839A1">
      <w:pPr>
        <w:jc w:val="both"/>
        <w:rPr>
          <w:b/>
          <w:bCs/>
          <w:i/>
          <w:iCs/>
          <w:lang w:val="en-US"/>
        </w:rPr>
      </w:pPr>
      <w:r w:rsidRPr="008839A1">
        <w:rPr>
          <w:b/>
          <w:bCs/>
          <w:i/>
          <w:iCs/>
          <w:lang w:val="en-US"/>
        </w:rPr>
        <w:t xml:space="preserve">Team composition </w:t>
      </w:r>
    </w:p>
    <w:p w14:paraId="0B544A13" w14:textId="77777777" w:rsidR="008839A1" w:rsidRDefault="008839A1" w:rsidP="008839A1">
      <w:pPr>
        <w:jc w:val="both"/>
        <w:rPr>
          <w:b/>
          <w:bCs/>
          <w:lang w:val="en-US"/>
        </w:rPr>
      </w:pPr>
    </w:p>
    <w:p w14:paraId="507F6252" w14:textId="098BE738" w:rsidR="00F5261A" w:rsidRPr="00F5261A" w:rsidRDefault="00F5261A" w:rsidP="008839A1">
      <w:pPr>
        <w:jc w:val="both"/>
        <w:rPr>
          <w:lang w:val="en-US"/>
        </w:rPr>
      </w:pPr>
      <w:r w:rsidRPr="00F5261A">
        <w:rPr>
          <w:lang w:val="en-US"/>
        </w:rPr>
        <w:t>The consultant team should at a minimum include the following team members:</w:t>
      </w:r>
    </w:p>
    <w:p w14:paraId="32CE790B" w14:textId="77777777" w:rsidR="00F5261A" w:rsidRPr="008839A1" w:rsidRDefault="00F5261A" w:rsidP="008839A1">
      <w:pPr>
        <w:jc w:val="both"/>
        <w:rPr>
          <w:b/>
          <w:bCs/>
          <w:lang w:val="en-US"/>
        </w:rPr>
      </w:pPr>
    </w:p>
    <w:p w14:paraId="350FFDFA" w14:textId="1ECA44B1" w:rsidR="008839A1" w:rsidRDefault="008839A1" w:rsidP="00F21856">
      <w:pPr>
        <w:numPr>
          <w:ilvl w:val="0"/>
          <w:numId w:val="3"/>
        </w:numPr>
        <w:spacing w:after="240"/>
        <w:jc w:val="both"/>
        <w:rPr>
          <w:rFonts w:eastAsia="Calibri"/>
          <w:lang w:val="en-US" w:eastAsia="en-US"/>
        </w:rPr>
      </w:pPr>
      <w:r w:rsidRPr="008839A1">
        <w:rPr>
          <w:rFonts w:eastAsia="Calibri"/>
          <w:b/>
          <w:bCs/>
          <w:lang w:val="en-US" w:eastAsia="en-US"/>
        </w:rPr>
        <w:t>Team leader</w:t>
      </w:r>
      <w:r w:rsidRPr="008839A1">
        <w:rPr>
          <w:rFonts w:eastAsia="Calibri"/>
          <w:lang w:val="en-US" w:eastAsia="en-US"/>
        </w:rPr>
        <w:t xml:space="preserve">: The team leader should have extensive experience in energy access planning and mini grid </w:t>
      </w:r>
      <w:r>
        <w:rPr>
          <w:rFonts w:eastAsia="Calibri"/>
          <w:lang w:val="en-US" w:eastAsia="en-US"/>
        </w:rPr>
        <w:t xml:space="preserve">and off-grid project </w:t>
      </w:r>
      <w:r w:rsidRPr="008839A1">
        <w:rPr>
          <w:rFonts w:eastAsia="Calibri"/>
          <w:lang w:val="en-US" w:eastAsia="en-US"/>
        </w:rPr>
        <w:t xml:space="preserve">design using cutting-edge machine learning, GIS, energy planning tools, and big data analysis. Team leaders should have experience in leading similar projects in other sub-Saharan African countries for government and/pr mini grid developers. </w:t>
      </w:r>
    </w:p>
    <w:p w14:paraId="0B516F5C" w14:textId="3D52B99C" w:rsidR="00F21856" w:rsidRPr="00F21856" w:rsidRDefault="008839A1" w:rsidP="00F21856">
      <w:pPr>
        <w:numPr>
          <w:ilvl w:val="0"/>
          <w:numId w:val="3"/>
        </w:numPr>
        <w:spacing w:after="240"/>
        <w:jc w:val="both"/>
        <w:rPr>
          <w:rFonts w:eastAsia="Calibri"/>
          <w:lang w:val="en-US" w:eastAsia="en-US"/>
        </w:rPr>
      </w:pPr>
      <w:r w:rsidRPr="008839A1">
        <w:rPr>
          <w:rFonts w:eastAsia="Calibri"/>
          <w:b/>
          <w:bCs/>
          <w:lang w:val="en-US" w:eastAsia="en-US"/>
        </w:rPr>
        <w:t>Software development and data analysis (technical) lead</w:t>
      </w:r>
      <w:r w:rsidRPr="008839A1">
        <w:rPr>
          <w:rFonts w:eastAsia="Calibri"/>
          <w:lang w:val="en-US" w:eastAsia="en-US"/>
        </w:rPr>
        <w:t xml:space="preserve">: Technical lead should be highly experienced in developing software and using machine learning techniques to plan electrification in sub-Saharan Africa. Technical lead should have expertise in analyzing both spatial and non-spatial datasets. Experience analyzing large amounts of geospatial data (such as building footprints, grid lines, road data, etc.), satellite imagery (nightlight, daylight, etc.), demand data </w:t>
      </w:r>
      <w:r w:rsidR="00F21856" w:rsidRPr="00F21856">
        <w:rPr>
          <w:rFonts w:eastAsia="Calibri"/>
          <w:lang w:val="en-US" w:eastAsia="en-US"/>
        </w:rPr>
        <w:t>and on-ground survey data is key. Technical lead with experience in developing software and algorithms to conduct similar analysis in Sub-Saharan Africa is a plus.</w:t>
      </w:r>
    </w:p>
    <w:p w14:paraId="35021DF2" w14:textId="1F7FF81F" w:rsidR="00F21856" w:rsidRPr="00F21856" w:rsidRDefault="00F21856" w:rsidP="00F21856">
      <w:pPr>
        <w:numPr>
          <w:ilvl w:val="0"/>
          <w:numId w:val="3"/>
        </w:numPr>
        <w:spacing w:after="240"/>
        <w:jc w:val="both"/>
        <w:rPr>
          <w:rFonts w:eastAsia="Calibri"/>
          <w:lang w:val="en-US" w:eastAsia="en-US"/>
        </w:rPr>
      </w:pPr>
      <w:r w:rsidRPr="00F21856">
        <w:rPr>
          <w:rFonts w:eastAsia="Calibri"/>
          <w:b/>
          <w:bCs/>
          <w:lang w:val="en-US" w:eastAsia="en-US"/>
        </w:rPr>
        <w:t>Data scientist</w:t>
      </w:r>
      <w:r w:rsidRPr="00F21856">
        <w:rPr>
          <w:rFonts w:eastAsia="Calibri"/>
          <w:lang w:val="en-US" w:eastAsia="en-US"/>
        </w:rPr>
        <w:t xml:space="preserve">: Experience analyzing large volumes of on-ground and earth observation data to generate insights. Experience in analyzing data for the energy access sector is key. </w:t>
      </w:r>
    </w:p>
    <w:p w14:paraId="418F25F4" w14:textId="2D439658" w:rsidR="008839A1" w:rsidRPr="008839A1" w:rsidRDefault="008839A1" w:rsidP="008839A1">
      <w:pPr>
        <w:jc w:val="both"/>
        <w:rPr>
          <w:rFonts w:eastAsia="Calibri"/>
          <w:lang w:val="en-US" w:eastAsia="en-US"/>
        </w:rPr>
      </w:pPr>
    </w:p>
    <w:p w14:paraId="1211407E" w14:textId="77777777" w:rsidR="00FA1F1A" w:rsidRDefault="00FA1F1A" w:rsidP="009B1743">
      <w:pPr>
        <w:jc w:val="both"/>
        <w:rPr>
          <w:b/>
          <w:bCs/>
        </w:rPr>
      </w:pPr>
    </w:p>
    <w:p w14:paraId="697BE5DA" w14:textId="77777777" w:rsidR="00FA1F1A" w:rsidRDefault="00FA1F1A" w:rsidP="009B1743">
      <w:pPr>
        <w:jc w:val="both"/>
        <w:rPr>
          <w:b/>
          <w:bCs/>
        </w:rPr>
      </w:pPr>
    </w:p>
    <w:p w14:paraId="45E49493" w14:textId="5D06459F" w:rsidR="00B04F4F" w:rsidRDefault="00FA1F1A" w:rsidP="009B1743">
      <w:pPr>
        <w:jc w:val="both"/>
      </w:pPr>
      <w:r>
        <w:rPr>
          <w:b/>
          <w:bCs/>
        </w:rPr>
        <w:t>VI. Re</w:t>
      </w:r>
      <w:r w:rsidR="00B04F4F" w:rsidRPr="00935B8E">
        <w:rPr>
          <w:b/>
          <w:bCs/>
        </w:rPr>
        <w:t>porting</w:t>
      </w:r>
      <w:r w:rsidR="00B04F4F">
        <w:t xml:space="preserve"> </w:t>
      </w:r>
    </w:p>
    <w:p w14:paraId="45775DBD" w14:textId="77777777" w:rsidR="00B04F4F" w:rsidRDefault="00B04F4F" w:rsidP="009B1743">
      <w:pPr>
        <w:jc w:val="both"/>
      </w:pPr>
    </w:p>
    <w:p w14:paraId="35722CE4" w14:textId="33FA1FA2" w:rsidR="007B0B23" w:rsidRDefault="00B04F4F" w:rsidP="00B04F4F">
      <w:pPr>
        <w:spacing w:line="240" w:lineRule="auto"/>
        <w:jc w:val="both"/>
        <w:rPr>
          <w:rFonts w:eastAsiaTheme="minorEastAsia"/>
          <w:color w:val="000000" w:themeColor="text1"/>
          <w:lang w:val="en-US"/>
        </w:rPr>
      </w:pPr>
      <w:r w:rsidRPr="1CE5A3D7">
        <w:rPr>
          <w:rFonts w:eastAsiaTheme="minorEastAsia"/>
          <w:color w:val="000000" w:themeColor="text1"/>
          <w:lang w:val="en-US"/>
        </w:rPr>
        <w:t>The consultant will report to the World Bank Task Team Lead</w:t>
      </w:r>
      <w:r w:rsidR="00331B82">
        <w:rPr>
          <w:rFonts w:eastAsiaTheme="minorEastAsia"/>
          <w:color w:val="000000" w:themeColor="text1"/>
          <w:lang w:val="en-US"/>
        </w:rPr>
        <w:t>s for the Regional DARES Project Jan Kappen (</w:t>
      </w:r>
      <w:hyperlink r:id="rId9" w:history="1">
        <w:r w:rsidR="00935B8E" w:rsidRPr="00107B0F">
          <w:rPr>
            <w:rStyle w:val="Hyperlink"/>
            <w:rFonts w:eastAsiaTheme="minorEastAsia"/>
            <w:lang w:val="en-US"/>
          </w:rPr>
          <w:t>jkappen@worldbank.org</w:t>
        </w:r>
      </w:hyperlink>
      <w:r w:rsidR="00935B8E">
        <w:rPr>
          <w:rFonts w:eastAsiaTheme="minorEastAsia"/>
          <w:color w:val="000000" w:themeColor="text1"/>
          <w:lang w:val="en-US"/>
        </w:rPr>
        <w:t>), Anshul Rana (</w:t>
      </w:r>
      <w:hyperlink r:id="rId10" w:history="1">
        <w:r w:rsidR="008C2504" w:rsidRPr="00107B0F">
          <w:rPr>
            <w:rStyle w:val="Hyperlink"/>
            <w:rFonts w:eastAsiaTheme="minorEastAsia"/>
            <w:lang w:val="en-US"/>
          </w:rPr>
          <w:t>arana1@worldbank.org</w:t>
        </w:r>
      </w:hyperlink>
      <w:r w:rsidR="008C2504">
        <w:rPr>
          <w:rFonts w:eastAsiaTheme="minorEastAsia"/>
          <w:color w:val="000000" w:themeColor="text1"/>
          <w:lang w:val="en-US"/>
        </w:rPr>
        <w:t xml:space="preserve">), </w:t>
      </w:r>
      <w:r w:rsidR="00EE6901">
        <w:rPr>
          <w:rFonts w:eastAsiaTheme="minorEastAsia"/>
          <w:color w:val="000000" w:themeColor="text1"/>
          <w:lang w:val="en-US"/>
        </w:rPr>
        <w:t>Tatia Lemondzhava (</w:t>
      </w:r>
      <w:hyperlink r:id="rId11" w:history="1">
        <w:r w:rsidR="00EE6901" w:rsidRPr="00107B0F">
          <w:rPr>
            <w:rStyle w:val="Hyperlink"/>
            <w:rFonts w:eastAsiaTheme="minorEastAsia"/>
            <w:lang w:val="en-US"/>
          </w:rPr>
          <w:t>tlemondzhava@worldbank.org</w:t>
        </w:r>
      </w:hyperlink>
      <w:r w:rsidR="00EE6901">
        <w:rPr>
          <w:rFonts w:eastAsiaTheme="minorEastAsia"/>
          <w:color w:val="000000" w:themeColor="text1"/>
          <w:lang w:val="en-US"/>
        </w:rPr>
        <w:t xml:space="preserve">) and the rest of the RDARES Task Team. </w:t>
      </w:r>
    </w:p>
    <w:p w14:paraId="24F22AAC" w14:textId="77777777" w:rsidR="00B04F4F" w:rsidRDefault="00B04F4F" w:rsidP="009B1743">
      <w:pPr>
        <w:jc w:val="both"/>
      </w:pPr>
    </w:p>
    <w:sectPr w:rsidR="00B04F4F">
      <w:footerReference w:type="even" r:id="rId12"/>
      <w:footerReference w:type="default" r:id="rId13"/>
      <w:footerReference w:type="first" r:id="rId1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73DE2" w14:textId="77777777" w:rsidR="0090092F" w:rsidRDefault="0090092F" w:rsidP="00F02236">
      <w:pPr>
        <w:spacing w:line="240" w:lineRule="auto"/>
      </w:pPr>
      <w:r>
        <w:separator/>
      </w:r>
    </w:p>
  </w:endnote>
  <w:endnote w:type="continuationSeparator" w:id="0">
    <w:p w14:paraId="74A98937" w14:textId="77777777" w:rsidR="0090092F" w:rsidRDefault="0090092F" w:rsidP="00F02236">
      <w:pPr>
        <w:spacing w:line="240" w:lineRule="auto"/>
      </w:pPr>
      <w:r>
        <w:continuationSeparator/>
      </w:r>
    </w:p>
  </w:endnote>
  <w:endnote w:type="continuationNotice" w:id="1">
    <w:p w14:paraId="10D6EF8E" w14:textId="77777777" w:rsidR="0090092F" w:rsidRDefault="0090092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altName w:val="Courier New PSMT"/>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altName w:val="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Roboto">
    <w:panose1 w:val="02000000000000000000"/>
    <w:charset w:val="00"/>
    <w:family w:val="auto"/>
    <w:pitch w:val="variable"/>
    <w:sig w:usb0="E00002FF" w:usb1="5000205B" w:usb2="0000002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58C01" w14:textId="1916FAF5" w:rsidR="00B324F1" w:rsidRDefault="00B324F1">
    <w:pPr>
      <w:pStyle w:val="Footer"/>
    </w:pPr>
    <w:r>
      <w:rPr>
        <w:noProof/>
      </w:rPr>
      <mc:AlternateContent>
        <mc:Choice Requires="wps">
          <w:drawing>
            <wp:anchor distT="0" distB="0" distL="0" distR="0" simplePos="0" relativeHeight="251658241" behindDoc="0" locked="0" layoutInCell="1" allowOverlap="1" wp14:anchorId="21A647F2" wp14:editId="705C2D1E">
              <wp:simplePos x="635" y="635"/>
              <wp:positionH relativeFrom="page">
                <wp:align>right</wp:align>
              </wp:positionH>
              <wp:positionV relativeFrom="page">
                <wp:align>bottom</wp:align>
              </wp:positionV>
              <wp:extent cx="1106805" cy="368935"/>
              <wp:effectExtent l="0" t="0" r="0" b="0"/>
              <wp:wrapNone/>
              <wp:docPr id="1701583632" name="Text Box 2"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6805" cy="368935"/>
                      </a:xfrm>
                      <a:prstGeom prst="rect">
                        <a:avLst/>
                      </a:prstGeom>
                      <a:noFill/>
                      <a:ln>
                        <a:noFill/>
                      </a:ln>
                    </wps:spPr>
                    <wps:txbx>
                      <w:txbxContent>
                        <w:p w14:paraId="73A97106" w14:textId="4661FA93" w:rsidR="00B324F1" w:rsidRPr="00B324F1" w:rsidRDefault="00B324F1" w:rsidP="00B324F1">
                          <w:pPr>
                            <w:rPr>
                              <w:rFonts w:ascii="Calibri" w:eastAsia="Calibri" w:hAnsi="Calibri" w:cs="Calibri"/>
                              <w:noProof/>
                              <w:color w:val="000000"/>
                              <w:sz w:val="20"/>
                              <w:szCs w:val="20"/>
                            </w:rPr>
                          </w:pPr>
                          <w:r w:rsidRPr="00B324F1">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1A647F2" id="_x0000_t202" coordsize="21600,21600" o:spt="202" path="m,l,21600r21600,l21600,xe">
              <v:stroke joinstyle="miter"/>
              <v:path gradientshapeok="t" o:connecttype="rect"/>
            </v:shapetype>
            <v:shape id="Text Box 2" o:spid="_x0000_s1026" type="#_x0000_t202" alt="Official Use Only" style="position:absolute;margin-left:35.95pt;margin-top:0;width:87.15pt;height:29.05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" filled="f" stroked="f">
              <v:textbox style="mso-fit-shape-to-text:t" inset="0,0,20pt,15pt">
                <w:txbxContent>
                  <w:p w14:paraId="73A97106" w14:textId="4661FA93" w:rsidR="00B324F1" w:rsidRPr="00B324F1" w:rsidRDefault="00B324F1" w:rsidP="00B324F1">
                    <w:pPr>
                      <w:rPr>
                        <w:rFonts w:ascii="Calibri" w:eastAsia="Calibri" w:hAnsi="Calibri" w:cs="Calibri"/>
                        <w:noProof/>
                        <w:color w:val="000000"/>
                        <w:sz w:val="20"/>
                        <w:szCs w:val="20"/>
                      </w:rPr>
                    </w:pPr>
                    <w:r w:rsidRPr="00B324F1">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82706" w14:textId="5E09FB5E" w:rsidR="00B324F1" w:rsidRDefault="00B324F1">
    <w:pPr>
      <w:pStyle w:val="Footer"/>
    </w:pPr>
    <w:r>
      <w:rPr>
        <w:noProof/>
      </w:rPr>
      <mc:AlternateContent>
        <mc:Choice Requires="wps">
          <w:drawing>
            <wp:anchor distT="0" distB="0" distL="0" distR="0" simplePos="0" relativeHeight="251658242" behindDoc="0" locked="0" layoutInCell="1" allowOverlap="1" wp14:anchorId="3FFD1E50" wp14:editId="5C045DCD">
              <wp:simplePos x="635" y="635"/>
              <wp:positionH relativeFrom="page">
                <wp:align>right</wp:align>
              </wp:positionH>
              <wp:positionV relativeFrom="page">
                <wp:align>bottom</wp:align>
              </wp:positionV>
              <wp:extent cx="1106805" cy="368935"/>
              <wp:effectExtent l="0" t="0" r="0" b="0"/>
              <wp:wrapNone/>
              <wp:docPr id="1549791920" name="Text Box 3"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6805" cy="368935"/>
                      </a:xfrm>
                      <a:prstGeom prst="rect">
                        <a:avLst/>
                      </a:prstGeom>
                      <a:noFill/>
                      <a:ln>
                        <a:noFill/>
                      </a:ln>
                    </wps:spPr>
                    <wps:txbx>
                      <w:txbxContent>
                        <w:p w14:paraId="1F2CACB8" w14:textId="0FEAD3EE" w:rsidR="00B324F1" w:rsidRPr="00B324F1" w:rsidRDefault="00B324F1" w:rsidP="00B324F1">
                          <w:pPr>
                            <w:rPr>
                              <w:rFonts w:ascii="Calibri" w:eastAsia="Calibri" w:hAnsi="Calibri" w:cs="Calibri"/>
                              <w:noProof/>
                              <w:color w:val="000000"/>
                              <w:sz w:val="20"/>
                              <w:szCs w:val="20"/>
                            </w:rPr>
                          </w:pPr>
                          <w:r w:rsidRPr="00B324F1">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FFD1E50" id="_x0000_t202" coordsize="21600,21600" o:spt="202" path="m,l,21600r21600,l21600,xe">
              <v:stroke joinstyle="miter"/>
              <v:path gradientshapeok="t" o:connecttype="rect"/>
            </v:shapetype>
            <v:shape id="Text Box 3" o:spid="_x0000_s1027" type="#_x0000_t202" alt="Official Use Only" style="position:absolute;margin-left:35.95pt;margin-top:0;width:87.15pt;height:29.05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" filled="f" stroked="f">
              <v:textbox style="mso-fit-shape-to-text:t" inset="0,0,20pt,15pt">
                <w:txbxContent>
                  <w:p w14:paraId="1F2CACB8" w14:textId="0FEAD3EE" w:rsidR="00B324F1" w:rsidRPr="00B324F1" w:rsidRDefault="00B324F1" w:rsidP="00B324F1">
                    <w:pPr>
                      <w:rPr>
                        <w:rFonts w:ascii="Calibri" w:eastAsia="Calibri" w:hAnsi="Calibri" w:cs="Calibri"/>
                        <w:noProof/>
                        <w:color w:val="000000"/>
                        <w:sz w:val="20"/>
                        <w:szCs w:val="20"/>
                      </w:rPr>
                    </w:pPr>
                    <w:r w:rsidRPr="00B324F1">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7C31C" w14:textId="508869AB" w:rsidR="00B324F1" w:rsidRDefault="00B324F1">
    <w:pPr>
      <w:pStyle w:val="Footer"/>
    </w:pPr>
    <w:r>
      <w:rPr>
        <w:noProof/>
      </w:rPr>
      <mc:AlternateContent>
        <mc:Choice Requires="wps">
          <w:drawing>
            <wp:anchor distT="0" distB="0" distL="0" distR="0" simplePos="0" relativeHeight="251658240" behindDoc="0" locked="0" layoutInCell="1" allowOverlap="1" wp14:anchorId="1C4A991E" wp14:editId="7684B8C5">
              <wp:simplePos x="635" y="635"/>
              <wp:positionH relativeFrom="page">
                <wp:align>right</wp:align>
              </wp:positionH>
              <wp:positionV relativeFrom="page">
                <wp:align>bottom</wp:align>
              </wp:positionV>
              <wp:extent cx="1106805" cy="368935"/>
              <wp:effectExtent l="0" t="0" r="0" b="0"/>
              <wp:wrapNone/>
              <wp:docPr id="85955747" name="Text Box 1"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6805" cy="368935"/>
                      </a:xfrm>
                      <a:prstGeom prst="rect">
                        <a:avLst/>
                      </a:prstGeom>
                      <a:noFill/>
                      <a:ln>
                        <a:noFill/>
                      </a:ln>
                    </wps:spPr>
                    <wps:txbx>
                      <w:txbxContent>
                        <w:p w14:paraId="3B5416AA" w14:textId="23F650B3" w:rsidR="00B324F1" w:rsidRPr="00B324F1" w:rsidRDefault="00B324F1" w:rsidP="00B324F1">
                          <w:pPr>
                            <w:rPr>
                              <w:rFonts w:ascii="Calibri" w:eastAsia="Calibri" w:hAnsi="Calibri" w:cs="Calibri"/>
                              <w:noProof/>
                              <w:color w:val="000000"/>
                              <w:sz w:val="20"/>
                              <w:szCs w:val="20"/>
                            </w:rPr>
                          </w:pPr>
                          <w:r w:rsidRPr="00B324F1">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C4A991E" id="_x0000_t202" coordsize="21600,21600" o:spt="202" path="m,l,21600r21600,l21600,xe">
              <v:stroke joinstyle="miter"/>
              <v:path gradientshapeok="t" o:connecttype="rect"/>
            </v:shapetype>
            <v:shape id="Text Box 1" o:spid="_x0000_s1028" type="#_x0000_t202" alt="Official Use Only" style="position:absolute;margin-left:35.95pt;margin-top:0;width:87.15pt;height:29.0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" filled="f" stroked="f">
              <v:textbox style="mso-fit-shape-to-text:t" inset="0,0,20pt,15pt">
                <w:txbxContent>
                  <w:p w14:paraId="3B5416AA" w14:textId="23F650B3" w:rsidR="00B324F1" w:rsidRPr="00B324F1" w:rsidRDefault="00B324F1" w:rsidP="00B324F1">
                    <w:pPr>
                      <w:rPr>
                        <w:rFonts w:ascii="Calibri" w:eastAsia="Calibri" w:hAnsi="Calibri" w:cs="Calibri"/>
                        <w:noProof/>
                        <w:color w:val="000000"/>
                        <w:sz w:val="20"/>
                        <w:szCs w:val="20"/>
                      </w:rPr>
                    </w:pPr>
                    <w:r w:rsidRPr="00B324F1">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B0905" w14:textId="77777777" w:rsidR="0090092F" w:rsidRDefault="0090092F" w:rsidP="00F02236">
      <w:pPr>
        <w:spacing w:line="240" w:lineRule="auto"/>
      </w:pPr>
      <w:r>
        <w:separator/>
      </w:r>
    </w:p>
  </w:footnote>
  <w:footnote w:type="continuationSeparator" w:id="0">
    <w:p w14:paraId="2C646B93" w14:textId="77777777" w:rsidR="0090092F" w:rsidRDefault="0090092F" w:rsidP="00F02236">
      <w:pPr>
        <w:spacing w:line="240" w:lineRule="auto"/>
      </w:pPr>
      <w:r>
        <w:continuationSeparator/>
      </w:r>
    </w:p>
  </w:footnote>
  <w:footnote w:type="continuationNotice" w:id="1">
    <w:p w14:paraId="762A25C3" w14:textId="77777777" w:rsidR="0090092F" w:rsidRDefault="0090092F">
      <w:pPr>
        <w:spacing w:line="240" w:lineRule="auto"/>
      </w:pPr>
    </w:p>
  </w:footnote>
  <w:footnote w:id="2">
    <w:p w14:paraId="23C9DDA8" w14:textId="3E2ECB61" w:rsidR="006420E8" w:rsidRPr="006420E8" w:rsidRDefault="006420E8">
      <w:pPr>
        <w:pStyle w:val="FootnoteText"/>
      </w:pPr>
      <w:r>
        <w:rPr>
          <w:rStyle w:val="FootnoteReference"/>
        </w:rPr>
        <w:footnoteRef/>
      </w:r>
      <w:r w:rsidRPr="5C5158E4">
        <w:rPr>
          <w:lang w:val="en-US"/>
        </w:rPr>
        <w:t xml:space="preserve"> The </w:t>
      </w:r>
      <w:r w:rsidR="00752E60">
        <w:rPr>
          <w:lang w:val="en-US"/>
        </w:rPr>
        <w:t xml:space="preserve">tentative list of </w:t>
      </w:r>
      <w:r w:rsidRPr="5C5158E4">
        <w:rPr>
          <w:lang w:val="en-US"/>
        </w:rPr>
        <w:t>countries</w:t>
      </w:r>
      <w:r w:rsidR="00315A20">
        <w:rPr>
          <w:lang w:val="en-US"/>
        </w:rPr>
        <w:t xml:space="preserve"> for Phase 1 of Regional DARES</w:t>
      </w:r>
      <w:r w:rsidRPr="5C5158E4">
        <w:rPr>
          <w:lang w:val="en-US"/>
        </w:rPr>
        <w:t xml:space="preserve"> </w:t>
      </w:r>
      <w:r w:rsidR="00752E60">
        <w:rPr>
          <w:lang w:val="en-US"/>
        </w:rPr>
        <w:t>includes</w:t>
      </w:r>
      <w:r w:rsidRPr="5C5158E4">
        <w:rPr>
          <w:lang w:val="en-US"/>
        </w:rPr>
        <w:t xml:space="preserve">: </w:t>
      </w:r>
      <w:r w:rsidR="006E0DB5" w:rsidRPr="5C5158E4">
        <w:rPr>
          <w:lang w:val="en-US"/>
        </w:rPr>
        <w:t xml:space="preserve">Chad, Central African Republic, </w:t>
      </w:r>
      <w:r w:rsidR="00B9069E">
        <w:t>Liberia, Sierra Leone</w:t>
      </w:r>
      <w:r w:rsidR="00315A20">
        <w:t>, Guinea</w:t>
      </w:r>
      <w:r w:rsidR="004C366A">
        <w:t xml:space="preserve">, </w:t>
      </w:r>
      <w:r w:rsidR="00315A20">
        <w:t>Benin</w:t>
      </w:r>
      <w:r w:rsidR="004C366A">
        <w:t xml:space="preserve"> and Mauritania. </w:t>
      </w:r>
    </w:p>
  </w:footnote>
  <w:footnote w:id="3">
    <w:p w14:paraId="33A46754" w14:textId="1BFBBEC1" w:rsidR="001E1A55" w:rsidRPr="00F02236" w:rsidRDefault="001E1A55" w:rsidP="001E1A55">
      <w:pPr>
        <w:pStyle w:val="FootnoteText"/>
        <w:rPr>
          <w:lang w:val="en-US"/>
        </w:rPr>
      </w:pPr>
      <w:r>
        <w:rPr>
          <w:rStyle w:val="FootnoteReference"/>
        </w:rPr>
        <w:footnoteRef/>
      </w:r>
      <w:r>
        <w:t xml:space="preserve"> </w:t>
      </w:r>
      <w:r w:rsidRPr="00F02236">
        <w:t xml:space="preserve">The </w:t>
      </w:r>
      <w:r>
        <w:t xml:space="preserve">World Bank </w:t>
      </w:r>
      <w:r w:rsidRPr="00F02236">
        <w:t xml:space="preserve">team will </w:t>
      </w:r>
      <w:r>
        <w:t xml:space="preserve">assist the Consultant in </w:t>
      </w:r>
      <w:r w:rsidRPr="00F02236">
        <w:t>mobiliz</w:t>
      </w:r>
      <w:r>
        <w:t>ing</w:t>
      </w:r>
      <w:r w:rsidRPr="00F02236">
        <w:t xml:space="preserve"> GSMA </w:t>
      </w:r>
      <w:r>
        <w:t xml:space="preserve">for data acquisition </w:t>
      </w:r>
      <w:r w:rsidRPr="00F02236">
        <w:t xml:space="preserve">and </w:t>
      </w:r>
      <w:r>
        <w:t xml:space="preserve">provide </w:t>
      </w:r>
      <w:r w:rsidRPr="00F02236">
        <w:t>additional fund</w:t>
      </w:r>
      <w:r>
        <w:t>ing</w:t>
      </w:r>
      <w:r w:rsidRPr="00F02236">
        <w:t xml:space="preserve"> </w:t>
      </w:r>
      <w:r>
        <w:t>if/</w:t>
      </w:r>
      <w:r w:rsidRPr="00F02236">
        <w:t>where needed for data collection/purchase.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B88CBCF"/>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8B5BDA"/>
    <w:multiLevelType w:val="multilevel"/>
    <w:tmpl w:val="E544E1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41A1263"/>
    <w:multiLevelType w:val="multilevel"/>
    <w:tmpl w:val="4D16BB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876527F"/>
    <w:multiLevelType w:val="multilevel"/>
    <w:tmpl w:val="11D0B066"/>
    <w:lvl w:ilvl="0">
      <w:start w:val="1"/>
      <w:numFmt w:val="bullet"/>
      <w:lvlText w:val=""/>
      <w:lvlJc w:val="left"/>
      <w:pPr>
        <w:tabs>
          <w:tab w:val="num" w:pos="2880"/>
        </w:tabs>
        <w:ind w:left="2880" w:hanging="360"/>
      </w:pPr>
      <w:rPr>
        <w:rFonts w:ascii="Symbol" w:hAnsi="Symbol" w:hint="default"/>
        <w:sz w:val="20"/>
      </w:rPr>
    </w:lvl>
    <w:lvl w:ilvl="1">
      <w:start w:val="1"/>
      <w:numFmt w:val="bullet"/>
      <w:lvlText w:val="o"/>
      <w:lvlJc w:val="left"/>
      <w:pPr>
        <w:tabs>
          <w:tab w:val="num" w:pos="3600"/>
        </w:tabs>
        <w:ind w:left="3600" w:hanging="360"/>
      </w:pPr>
      <w:rPr>
        <w:rFonts w:ascii="Courier New" w:hAnsi="Courier New" w:hint="default"/>
        <w:sz w:val="20"/>
      </w:rPr>
    </w:lvl>
    <w:lvl w:ilvl="2" w:tentative="1">
      <w:start w:val="1"/>
      <w:numFmt w:val="bullet"/>
      <w:lvlText w:val=""/>
      <w:lvlJc w:val="left"/>
      <w:pPr>
        <w:tabs>
          <w:tab w:val="num" w:pos="4320"/>
        </w:tabs>
        <w:ind w:left="4320" w:hanging="360"/>
      </w:pPr>
      <w:rPr>
        <w:rFonts w:ascii="Wingdings" w:hAnsi="Wingdings" w:hint="default"/>
        <w:sz w:val="20"/>
      </w:rPr>
    </w:lvl>
    <w:lvl w:ilvl="3" w:tentative="1">
      <w:start w:val="1"/>
      <w:numFmt w:val="bullet"/>
      <w:lvlText w:val=""/>
      <w:lvlJc w:val="left"/>
      <w:pPr>
        <w:tabs>
          <w:tab w:val="num" w:pos="5040"/>
        </w:tabs>
        <w:ind w:left="5040" w:hanging="360"/>
      </w:pPr>
      <w:rPr>
        <w:rFonts w:ascii="Wingdings" w:hAnsi="Wingdings" w:hint="default"/>
        <w:sz w:val="20"/>
      </w:rPr>
    </w:lvl>
    <w:lvl w:ilvl="4" w:tentative="1">
      <w:start w:val="1"/>
      <w:numFmt w:val="bullet"/>
      <w:lvlText w:val=""/>
      <w:lvlJc w:val="left"/>
      <w:pPr>
        <w:tabs>
          <w:tab w:val="num" w:pos="5760"/>
        </w:tabs>
        <w:ind w:left="5760" w:hanging="360"/>
      </w:pPr>
      <w:rPr>
        <w:rFonts w:ascii="Wingdings" w:hAnsi="Wingdings" w:hint="default"/>
        <w:sz w:val="20"/>
      </w:rPr>
    </w:lvl>
    <w:lvl w:ilvl="5" w:tentative="1">
      <w:start w:val="1"/>
      <w:numFmt w:val="bullet"/>
      <w:lvlText w:val=""/>
      <w:lvlJc w:val="left"/>
      <w:pPr>
        <w:tabs>
          <w:tab w:val="num" w:pos="6480"/>
        </w:tabs>
        <w:ind w:left="6480" w:hanging="360"/>
      </w:pPr>
      <w:rPr>
        <w:rFonts w:ascii="Wingdings" w:hAnsi="Wingdings" w:hint="default"/>
        <w:sz w:val="20"/>
      </w:rPr>
    </w:lvl>
    <w:lvl w:ilvl="6" w:tentative="1">
      <w:start w:val="1"/>
      <w:numFmt w:val="bullet"/>
      <w:lvlText w:val=""/>
      <w:lvlJc w:val="left"/>
      <w:pPr>
        <w:tabs>
          <w:tab w:val="num" w:pos="7200"/>
        </w:tabs>
        <w:ind w:left="7200" w:hanging="360"/>
      </w:pPr>
      <w:rPr>
        <w:rFonts w:ascii="Wingdings" w:hAnsi="Wingdings" w:hint="default"/>
        <w:sz w:val="20"/>
      </w:rPr>
    </w:lvl>
    <w:lvl w:ilvl="7" w:tentative="1">
      <w:start w:val="1"/>
      <w:numFmt w:val="bullet"/>
      <w:lvlText w:val=""/>
      <w:lvlJc w:val="left"/>
      <w:pPr>
        <w:tabs>
          <w:tab w:val="num" w:pos="7920"/>
        </w:tabs>
        <w:ind w:left="7920" w:hanging="360"/>
      </w:pPr>
      <w:rPr>
        <w:rFonts w:ascii="Wingdings" w:hAnsi="Wingdings" w:hint="default"/>
        <w:sz w:val="20"/>
      </w:rPr>
    </w:lvl>
    <w:lvl w:ilvl="8" w:tentative="1">
      <w:start w:val="1"/>
      <w:numFmt w:val="bullet"/>
      <w:lvlText w:val=""/>
      <w:lvlJc w:val="left"/>
      <w:pPr>
        <w:tabs>
          <w:tab w:val="num" w:pos="8640"/>
        </w:tabs>
        <w:ind w:left="8640" w:hanging="360"/>
      </w:pPr>
      <w:rPr>
        <w:rFonts w:ascii="Wingdings" w:hAnsi="Wingdings" w:hint="default"/>
        <w:sz w:val="20"/>
      </w:rPr>
    </w:lvl>
  </w:abstractNum>
  <w:abstractNum w:abstractNumId="4" w15:restartNumberingAfterBreak="0">
    <w:nsid w:val="0DE11F38"/>
    <w:multiLevelType w:val="hybridMultilevel"/>
    <w:tmpl w:val="B372AD10"/>
    <w:lvl w:ilvl="0" w:tplc="688AFB8C">
      <w:start w:val="1"/>
      <w:numFmt w:val="bullet"/>
      <w:lvlText w:val=""/>
      <w:lvlJc w:val="left"/>
      <w:pPr>
        <w:ind w:left="1440" w:hanging="360"/>
      </w:pPr>
      <w:rPr>
        <w:rFonts w:ascii="Symbol" w:eastAsia="Arial"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C56471F"/>
    <w:multiLevelType w:val="hybridMultilevel"/>
    <w:tmpl w:val="5C7460EC"/>
    <w:lvl w:ilvl="0" w:tplc="DADCC238">
      <w:start w:val="1"/>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120668"/>
    <w:multiLevelType w:val="hybridMultilevel"/>
    <w:tmpl w:val="CD8AC6B2"/>
    <w:lvl w:ilvl="0" w:tplc="58646222">
      <w:start w:val="1"/>
      <w:numFmt w:val="decimal"/>
      <w:lvlText w:val="%1)"/>
      <w:lvlJc w:val="left"/>
      <w:pPr>
        <w:ind w:left="1020" w:hanging="360"/>
      </w:pPr>
    </w:lvl>
    <w:lvl w:ilvl="1" w:tplc="150827CE">
      <w:start w:val="1"/>
      <w:numFmt w:val="decimal"/>
      <w:lvlText w:val="%2)"/>
      <w:lvlJc w:val="left"/>
      <w:pPr>
        <w:ind w:left="1020" w:hanging="360"/>
      </w:pPr>
    </w:lvl>
    <w:lvl w:ilvl="2" w:tplc="72D036DA">
      <w:start w:val="1"/>
      <w:numFmt w:val="decimal"/>
      <w:lvlText w:val="%3)"/>
      <w:lvlJc w:val="left"/>
      <w:pPr>
        <w:ind w:left="1020" w:hanging="360"/>
      </w:pPr>
    </w:lvl>
    <w:lvl w:ilvl="3" w:tplc="A73293C6">
      <w:start w:val="1"/>
      <w:numFmt w:val="decimal"/>
      <w:lvlText w:val="%4)"/>
      <w:lvlJc w:val="left"/>
      <w:pPr>
        <w:ind w:left="1020" w:hanging="360"/>
      </w:pPr>
    </w:lvl>
    <w:lvl w:ilvl="4" w:tplc="BDE8EBCE">
      <w:start w:val="1"/>
      <w:numFmt w:val="decimal"/>
      <w:lvlText w:val="%5)"/>
      <w:lvlJc w:val="left"/>
      <w:pPr>
        <w:ind w:left="1020" w:hanging="360"/>
      </w:pPr>
    </w:lvl>
    <w:lvl w:ilvl="5" w:tplc="EE3277D2">
      <w:start w:val="1"/>
      <w:numFmt w:val="decimal"/>
      <w:lvlText w:val="%6)"/>
      <w:lvlJc w:val="left"/>
      <w:pPr>
        <w:ind w:left="1020" w:hanging="360"/>
      </w:pPr>
    </w:lvl>
    <w:lvl w:ilvl="6" w:tplc="37785EA6">
      <w:start w:val="1"/>
      <w:numFmt w:val="decimal"/>
      <w:lvlText w:val="%7)"/>
      <w:lvlJc w:val="left"/>
      <w:pPr>
        <w:ind w:left="1020" w:hanging="360"/>
      </w:pPr>
    </w:lvl>
    <w:lvl w:ilvl="7" w:tplc="94006D6C">
      <w:start w:val="1"/>
      <w:numFmt w:val="decimal"/>
      <w:lvlText w:val="%8)"/>
      <w:lvlJc w:val="left"/>
      <w:pPr>
        <w:ind w:left="1020" w:hanging="360"/>
      </w:pPr>
    </w:lvl>
    <w:lvl w:ilvl="8" w:tplc="5742F406">
      <w:start w:val="1"/>
      <w:numFmt w:val="decimal"/>
      <w:lvlText w:val="%9)"/>
      <w:lvlJc w:val="left"/>
      <w:pPr>
        <w:ind w:left="1020" w:hanging="360"/>
      </w:pPr>
    </w:lvl>
  </w:abstractNum>
  <w:abstractNum w:abstractNumId="7" w15:restartNumberingAfterBreak="0">
    <w:nsid w:val="287B2B01"/>
    <w:multiLevelType w:val="multilevel"/>
    <w:tmpl w:val="F996AB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8EB022C"/>
    <w:multiLevelType w:val="multilevel"/>
    <w:tmpl w:val="1292B83A"/>
    <w:lvl w:ilvl="0">
      <w:start w:val="1"/>
      <w:numFmt w:val="decimal"/>
      <w:lvlText w:val="%1."/>
      <w:lvlJc w:val="left"/>
      <w:pPr>
        <w:tabs>
          <w:tab w:val="num" w:pos="1440"/>
        </w:tabs>
        <w:ind w:left="1440" w:hanging="360"/>
      </w:pPr>
    </w:lvl>
    <w:lvl w:ilvl="1">
      <w:start w:val="1"/>
      <w:numFmt w:val="bullet"/>
      <w:lvlText w:val="o"/>
      <w:lvlJc w:val="left"/>
      <w:pPr>
        <w:tabs>
          <w:tab w:val="num" w:pos="2160"/>
        </w:tabs>
        <w:ind w:left="2160" w:hanging="360"/>
      </w:pPr>
      <w:rPr>
        <w:rFonts w:ascii="Courier New" w:hAnsi="Courier New" w:hint="default"/>
        <w:sz w:val="20"/>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9" w15:restartNumberingAfterBreak="0">
    <w:nsid w:val="2FE55575"/>
    <w:multiLevelType w:val="multilevel"/>
    <w:tmpl w:val="E4622BFA"/>
    <w:lvl w:ilvl="0">
      <w:start w:val="1"/>
      <w:numFmt w:val="bullet"/>
      <w:lvlText w:val="●"/>
      <w:lvlJc w:val="left"/>
      <w:pPr>
        <w:ind w:left="720" w:hanging="360"/>
      </w:pPr>
      <w:rPr>
        <w:rFonts w:ascii="Noto Sans Symbols" w:hAnsi="Noto Sans Symbol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3A593346"/>
    <w:multiLevelType w:val="hybridMultilevel"/>
    <w:tmpl w:val="843EB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CD4F8E"/>
    <w:multiLevelType w:val="hybridMultilevel"/>
    <w:tmpl w:val="4F18D8B2"/>
    <w:lvl w:ilvl="0" w:tplc="B98A98CC">
      <w:start w:val="2"/>
      <w:numFmt w:val="bullet"/>
      <w:lvlText w:val="-"/>
      <w:lvlJc w:val="left"/>
      <w:pPr>
        <w:ind w:left="720" w:hanging="360"/>
      </w:pPr>
      <w:rPr>
        <w:rFonts w:ascii="Calibri" w:eastAsia="Aptos" w:hAnsi="Calibri" w:cs="Calibri"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CA4110"/>
    <w:multiLevelType w:val="hybridMultilevel"/>
    <w:tmpl w:val="9B7A1B22"/>
    <w:lvl w:ilvl="0" w:tplc="207A484A">
      <w:start w:val="1"/>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1F22B2"/>
    <w:multiLevelType w:val="multilevel"/>
    <w:tmpl w:val="5D783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E5AA6EC"/>
    <w:multiLevelType w:val="hybridMultilevel"/>
    <w:tmpl w:val="AAAAD762"/>
    <w:lvl w:ilvl="0" w:tplc="7FFC71D0">
      <w:start w:val="1"/>
      <w:numFmt w:val="bullet"/>
      <w:lvlText w:val=""/>
      <w:lvlJc w:val="left"/>
      <w:pPr>
        <w:ind w:left="720" w:hanging="360"/>
      </w:pPr>
      <w:rPr>
        <w:rFonts w:ascii="Symbol" w:hAnsi="Symbol" w:hint="default"/>
      </w:rPr>
    </w:lvl>
    <w:lvl w:ilvl="1" w:tplc="DA965E1C">
      <w:start w:val="1"/>
      <w:numFmt w:val="bullet"/>
      <w:lvlText w:val="o"/>
      <w:lvlJc w:val="left"/>
      <w:pPr>
        <w:ind w:left="1440" w:hanging="360"/>
      </w:pPr>
      <w:rPr>
        <w:rFonts w:ascii="Courier New" w:hAnsi="Courier New" w:hint="default"/>
      </w:rPr>
    </w:lvl>
    <w:lvl w:ilvl="2" w:tplc="DF9603FE">
      <w:start w:val="1"/>
      <w:numFmt w:val="bullet"/>
      <w:lvlText w:val=""/>
      <w:lvlJc w:val="left"/>
      <w:pPr>
        <w:ind w:left="2160" w:hanging="360"/>
      </w:pPr>
      <w:rPr>
        <w:rFonts w:ascii="Wingdings" w:hAnsi="Wingdings" w:hint="default"/>
      </w:rPr>
    </w:lvl>
    <w:lvl w:ilvl="3" w:tplc="7BACFF14">
      <w:start w:val="1"/>
      <w:numFmt w:val="bullet"/>
      <w:lvlText w:val=""/>
      <w:lvlJc w:val="left"/>
      <w:pPr>
        <w:ind w:left="2880" w:hanging="360"/>
      </w:pPr>
      <w:rPr>
        <w:rFonts w:ascii="Symbol" w:hAnsi="Symbol" w:hint="default"/>
      </w:rPr>
    </w:lvl>
    <w:lvl w:ilvl="4" w:tplc="645A50F6">
      <w:start w:val="1"/>
      <w:numFmt w:val="bullet"/>
      <w:lvlText w:val="o"/>
      <w:lvlJc w:val="left"/>
      <w:pPr>
        <w:ind w:left="3600" w:hanging="360"/>
      </w:pPr>
      <w:rPr>
        <w:rFonts w:ascii="Courier New" w:hAnsi="Courier New" w:hint="default"/>
      </w:rPr>
    </w:lvl>
    <w:lvl w:ilvl="5" w:tplc="44DE7A8A">
      <w:start w:val="1"/>
      <w:numFmt w:val="bullet"/>
      <w:lvlText w:val=""/>
      <w:lvlJc w:val="left"/>
      <w:pPr>
        <w:ind w:left="4320" w:hanging="360"/>
      </w:pPr>
      <w:rPr>
        <w:rFonts w:ascii="Wingdings" w:hAnsi="Wingdings" w:hint="default"/>
      </w:rPr>
    </w:lvl>
    <w:lvl w:ilvl="6" w:tplc="7B805A7E">
      <w:start w:val="1"/>
      <w:numFmt w:val="bullet"/>
      <w:lvlText w:val=""/>
      <w:lvlJc w:val="left"/>
      <w:pPr>
        <w:ind w:left="5040" w:hanging="360"/>
      </w:pPr>
      <w:rPr>
        <w:rFonts w:ascii="Symbol" w:hAnsi="Symbol" w:hint="default"/>
      </w:rPr>
    </w:lvl>
    <w:lvl w:ilvl="7" w:tplc="0102EE7C">
      <w:start w:val="1"/>
      <w:numFmt w:val="bullet"/>
      <w:lvlText w:val="o"/>
      <w:lvlJc w:val="left"/>
      <w:pPr>
        <w:ind w:left="5760" w:hanging="360"/>
      </w:pPr>
      <w:rPr>
        <w:rFonts w:ascii="Courier New" w:hAnsi="Courier New" w:hint="default"/>
      </w:rPr>
    </w:lvl>
    <w:lvl w:ilvl="8" w:tplc="9266DB12">
      <w:start w:val="1"/>
      <w:numFmt w:val="bullet"/>
      <w:lvlText w:val=""/>
      <w:lvlJc w:val="left"/>
      <w:pPr>
        <w:ind w:left="6480" w:hanging="360"/>
      </w:pPr>
      <w:rPr>
        <w:rFonts w:ascii="Wingdings" w:hAnsi="Wingdings" w:hint="default"/>
      </w:rPr>
    </w:lvl>
  </w:abstractNum>
  <w:abstractNum w:abstractNumId="15" w15:restartNumberingAfterBreak="0">
    <w:nsid w:val="73820105"/>
    <w:multiLevelType w:val="hybridMultilevel"/>
    <w:tmpl w:val="BBFAF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9339F2"/>
    <w:multiLevelType w:val="hybridMultilevel"/>
    <w:tmpl w:val="AA0E74AC"/>
    <w:lvl w:ilvl="0" w:tplc="5B3ECCA6">
      <w:start w:val="1"/>
      <w:numFmt w:val="bullet"/>
      <w:lvlText w:val=""/>
      <w:lvlJc w:val="left"/>
      <w:pPr>
        <w:ind w:left="720" w:hanging="360"/>
      </w:pPr>
      <w:rPr>
        <w:rFonts w:ascii="Symbol" w:eastAsia="Arial"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736309"/>
    <w:multiLevelType w:val="hybridMultilevel"/>
    <w:tmpl w:val="1B04C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48501074">
    <w:abstractNumId w:val="7"/>
  </w:num>
  <w:num w:numId="2" w16cid:durableId="109015349">
    <w:abstractNumId w:val="1"/>
  </w:num>
  <w:num w:numId="3" w16cid:durableId="1595046545">
    <w:abstractNumId w:val="2"/>
  </w:num>
  <w:num w:numId="4" w16cid:durableId="535193642">
    <w:abstractNumId w:val="13"/>
  </w:num>
  <w:num w:numId="5" w16cid:durableId="538977283">
    <w:abstractNumId w:val="6"/>
  </w:num>
  <w:num w:numId="6" w16cid:durableId="101270399">
    <w:abstractNumId w:val="16"/>
  </w:num>
  <w:num w:numId="7" w16cid:durableId="785077776">
    <w:abstractNumId w:val="5"/>
  </w:num>
  <w:num w:numId="8" w16cid:durableId="80639393">
    <w:abstractNumId w:val="15"/>
  </w:num>
  <w:num w:numId="9" w16cid:durableId="33771226">
    <w:abstractNumId w:val="10"/>
  </w:num>
  <w:num w:numId="10" w16cid:durableId="242298757">
    <w:abstractNumId w:val="4"/>
  </w:num>
  <w:num w:numId="11" w16cid:durableId="2099209299">
    <w:abstractNumId w:val="12"/>
  </w:num>
  <w:num w:numId="12" w16cid:durableId="265692587">
    <w:abstractNumId w:val="8"/>
  </w:num>
  <w:num w:numId="13" w16cid:durableId="1698967537">
    <w:abstractNumId w:val="3"/>
  </w:num>
  <w:num w:numId="14" w16cid:durableId="1402674827">
    <w:abstractNumId w:val="17"/>
  </w:num>
  <w:num w:numId="15" w16cid:durableId="40595523">
    <w:abstractNumId w:val="11"/>
  </w:num>
  <w:num w:numId="16" w16cid:durableId="154541873">
    <w:abstractNumId w:val="14"/>
  </w:num>
  <w:num w:numId="17" w16cid:durableId="2139763881">
    <w:abstractNumId w:val="0"/>
  </w:num>
  <w:num w:numId="18" w16cid:durableId="181922497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0177"/>
    <w:rsid w:val="0000644F"/>
    <w:rsid w:val="00007A05"/>
    <w:rsid w:val="000211D0"/>
    <w:rsid w:val="0002283D"/>
    <w:rsid w:val="00027F26"/>
    <w:rsid w:val="00035847"/>
    <w:rsid w:val="00043854"/>
    <w:rsid w:val="0004448C"/>
    <w:rsid w:val="000472E0"/>
    <w:rsid w:val="000551B3"/>
    <w:rsid w:val="0006537D"/>
    <w:rsid w:val="00077464"/>
    <w:rsid w:val="00082D69"/>
    <w:rsid w:val="00087643"/>
    <w:rsid w:val="000932AD"/>
    <w:rsid w:val="00095F7B"/>
    <w:rsid w:val="00097D29"/>
    <w:rsid w:val="000B6FF4"/>
    <w:rsid w:val="000D2432"/>
    <w:rsid w:val="000E18E0"/>
    <w:rsid w:val="000E4A1C"/>
    <w:rsid w:val="000F0855"/>
    <w:rsid w:val="000F3019"/>
    <w:rsid w:val="00101C76"/>
    <w:rsid w:val="0011067F"/>
    <w:rsid w:val="001125AD"/>
    <w:rsid w:val="00112AE6"/>
    <w:rsid w:val="0011621C"/>
    <w:rsid w:val="00121760"/>
    <w:rsid w:val="001239F8"/>
    <w:rsid w:val="00130582"/>
    <w:rsid w:val="001315E2"/>
    <w:rsid w:val="00131D05"/>
    <w:rsid w:val="0013615F"/>
    <w:rsid w:val="0014046F"/>
    <w:rsid w:val="00140AE9"/>
    <w:rsid w:val="00141ECB"/>
    <w:rsid w:val="00142A21"/>
    <w:rsid w:val="00146A1C"/>
    <w:rsid w:val="00150441"/>
    <w:rsid w:val="00153F10"/>
    <w:rsid w:val="0016058B"/>
    <w:rsid w:val="00161CC7"/>
    <w:rsid w:val="001640FB"/>
    <w:rsid w:val="00167F66"/>
    <w:rsid w:val="00176E68"/>
    <w:rsid w:val="001836C5"/>
    <w:rsid w:val="00191BB5"/>
    <w:rsid w:val="001A12EB"/>
    <w:rsid w:val="001A220A"/>
    <w:rsid w:val="001B25BE"/>
    <w:rsid w:val="001B614C"/>
    <w:rsid w:val="001C00E1"/>
    <w:rsid w:val="001C22E7"/>
    <w:rsid w:val="001D24B1"/>
    <w:rsid w:val="001D4DFB"/>
    <w:rsid w:val="001E0177"/>
    <w:rsid w:val="001E1A55"/>
    <w:rsid w:val="001F2242"/>
    <w:rsid w:val="001F7062"/>
    <w:rsid w:val="00201ADE"/>
    <w:rsid w:val="00201FCA"/>
    <w:rsid w:val="00211A74"/>
    <w:rsid w:val="00212987"/>
    <w:rsid w:val="00213BDC"/>
    <w:rsid w:val="00220345"/>
    <w:rsid w:val="00222DE8"/>
    <w:rsid w:val="00262E7A"/>
    <w:rsid w:val="00267941"/>
    <w:rsid w:val="00272124"/>
    <w:rsid w:val="00272939"/>
    <w:rsid w:val="00273712"/>
    <w:rsid w:val="00273E9D"/>
    <w:rsid w:val="00277BCD"/>
    <w:rsid w:val="0029375F"/>
    <w:rsid w:val="00293E10"/>
    <w:rsid w:val="00294583"/>
    <w:rsid w:val="0029557B"/>
    <w:rsid w:val="002A60E8"/>
    <w:rsid w:val="002A6F6F"/>
    <w:rsid w:val="002B038F"/>
    <w:rsid w:val="002B37E8"/>
    <w:rsid w:val="002B3F1F"/>
    <w:rsid w:val="002B4E1D"/>
    <w:rsid w:val="002C07EB"/>
    <w:rsid w:val="002D7F86"/>
    <w:rsid w:val="002E0ACF"/>
    <w:rsid w:val="002E0CD4"/>
    <w:rsid w:val="002E5982"/>
    <w:rsid w:val="002E5E39"/>
    <w:rsid w:val="002F238E"/>
    <w:rsid w:val="002F7ED7"/>
    <w:rsid w:val="0030094F"/>
    <w:rsid w:val="00302C4F"/>
    <w:rsid w:val="00302FCC"/>
    <w:rsid w:val="00304D8D"/>
    <w:rsid w:val="00307FA9"/>
    <w:rsid w:val="00315A20"/>
    <w:rsid w:val="003219A9"/>
    <w:rsid w:val="00323CE0"/>
    <w:rsid w:val="00327E63"/>
    <w:rsid w:val="00330100"/>
    <w:rsid w:val="00330C8F"/>
    <w:rsid w:val="00331B82"/>
    <w:rsid w:val="00340E20"/>
    <w:rsid w:val="00342E00"/>
    <w:rsid w:val="00343DA2"/>
    <w:rsid w:val="003445D5"/>
    <w:rsid w:val="00363004"/>
    <w:rsid w:val="00364B67"/>
    <w:rsid w:val="00364E80"/>
    <w:rsid w:val="00374A35"/>
    <w:rsid w:val="00384512"/>
    <w:rsid w:val="00384C4B"/>
    <w:rsid w:val="00386022"/>
    <w:rsid w:val="003A0F4A"/>
    <w:rsid w:val="003A2159"/>
    <w:rsid w:val="003A6B0B"/>
    <w:rsid w:val="003C4E95"/>
    <w:rsid w:val="003C5C2D"/>
    <w:rsid w:val="003F57CA"/>
    <w:rsid w:val="003F5ADF"/>
    <w:rsid w:val="003F6A48"/>
    <w:rsid w:val="0040133E"/>
    <w:rsid w:val="00402CA1"/>
    <w:rsid w:val="004118C8"/>
    <w:rsid w:val="00415256"/>
    <w:rsid w:val="004230AA"/>
    <w:rsid w:val="00432029"/>
    <w:rsid w:val="0043750F"/>
    <w:rsid w:val="0044179B"/>
    <w:rsid w:val="00447ED2"/>
    <w:rsid w:val="00453F62"/>
    <w:rsid w:val="00461FCC"/>
    <w:rsid w:val="004623A3"/>
    <w:rsid w:val="0046756D"/>
    <w:rsid w:val="00472A6A"/>
    <w:rsid w:val="00474E59"/>
    <w:rsid w:val="00477899"/>
    <w:rsid w:val="00477E26"/>
    <w:rsid w:val="00487EF6"/>
    <w:rsid w:val="00490AE5"/>
    <w:rsid w:val="004916F6"/>
    <w:rsid w:val="004919A8"/>
    <w:rsid w:val="00494623"/>
    <w:rsid w:val="004A0713"/>
    <w:rsid w:val="004A4CF9"/>
    <w:rsid w:val="004C366A"/>
    <w:rsid w:val="004D3A7C"/>
    <w:rsid w:val="004E0305"/>
    <w:rsid w:val="004E1727"/>
    <w:rsid w:val="004E3301"/>
    <w:rsid w:val="004F4E6B"/>
    <w:rsid w:val="005145D9"/>
    <w:rsid w:val="005149BA"/>
    <w:rsid w:val="005259B9"/>
    <w:rsid w:val="00533520"/>
    <w:rsid w:val="00540415"/>
    <w:rsid w:val="00542FC7"/>
    <w:rsid w:val="00543BDE"/>
    <w:rsid w:val="00555D6F"/>
    <w:rsid w:val="00574289"/>
    <w:rsid w:val="00580EA0"/>
    <w:rsid w:val="00582A34"/>
    <w:rsid w:val="00587A38"/>
    <w:rsid w:val="00592121"/>
    <w:rsid w:val="00593186"/>
    <w:rsid w:val="00596EFC"/>
    <w:rsid w:val="005A64AA"/>
    <w:rsid w:val="005B6867"/>
    <w:rsid w:val="005D2E0C"/>
    <w:rsid w:val="005E0ECE"/>
    <w:rsid w:val="005E3EEA"/>
    <w:rsid w:val="005E74B7"/>
    <w:rsid w:val="006004B0"/>
    <w:rsid w:val="00603196"/>
    <w:rsid w:val="00615E73"/>
    <w:rsid w:val="006258A0"/>
    <w:rsid w:val="006335BB"/>
    <w:rsid w:val="00641BA5"/>
    <w:rsid w:val="006420E8"/>
    <w:rsid w:val="00642EB5"/>
    <w:rsid w:val="00656878"/>
    <w:rsid w:val="006779A6"/>
    <w:rsid w:val="00677C8E"/>
    <w:rsid w:val="006A55B4"/>
    <w:rsid w:val="006B5042"/>
    <w:rsid w:val="006B6937"/>
    <w:rsid w:val="006B72C5"/>
    <w:rsid w:val="006C232F"/>
    <w:rsid w:val="006C2A3E"/>
    <w:rsid w:val="006C4B80"/>
    <w:rsid w:val="006D4044"/>
    <w:rsid w:val="006E0DB5"/>
    <w:rsid w:val="006E47CB"/>
    <w:rsid w:val="006F1D77"/>
    <w:rsid w:val="006F208A"/>
    <w:rsid w:val="006F68A4"/>
    <w:rsid w:val="00705969"/>
    <w:rsid w:val="0072042F"/>
    <w:rsid w:val="00721DF0"/>
    <w:rsid w:val="00725CC8"/>
    <w:rsid w:val="00727517"/>
    <w:rsid w:val="00727B73"/>
    <w:rsid w:val="00730633"/>
    <w:rsid w:val="007502AA"/>
    <w:rsid w:val="00750DBB"/>
    <w:rsid w:val="00750F3A"/>
    <w:rsid w:val="0075257B"/>
    <w:rsid w:val="00752E60"/>
    <w:rsid w:val="00756487"/>
    <w:rsid w:val="007637BA"/>
    <w:rsid w:val="00764364"/>
    <w:rsid w:val="00767524"/>
    <w:rsid w:val="00774E0A"/>
    <w:rsid w:val="00777148"/>
    <w:rsid w:val="00784222"/>
    <w:rsid w:val="00784B2A"/>
    <w:rsid w:val="007855EB"/>
    <w:rsid w:val="00793762"/>
    <w:rsid w:val="00795B86"/>
    <w:rsid w:val="007A7F62"/>
    <w:rsid w:val="007B0B23"/>
    <w:rsid w:val="007C28D4"/>
    <w:rsid w:val="007C39B7"/>
    <w:rsid w:val="007D07A9"/>
    <w:rsid w:val="007D35DC"/>
    <w:rsid w:val="007D6C9B"/>
    <w:rsid w:val="007D71CD"/>
    <w:rsid w:val="008003EB"/>
    <w:rsid w:val="008011AB"/>
    <w:rsid w:val="00805574"/>
    <w:rsid w:val="00806946"/>
    <w:rsid w:val="00807185"/>
    <w:rsid w:val="008125BE"/>
    <w:rsid w:val="00812CB8"/>
    <w:rsid w:val="008200A9"/>
    <w:rsid w:val="00824DBC"/>
    <w:rsid w:val="008306AD"/>
    <w:rsid w:val="008323C3"/>
    <w:rsid w:val="0083682E"/>
    <w:rsid w:val="00876D86"/>
    <w:rsid w:val="008839A1"/>
    <w:rsid w:val="00884A22"/>
    <w:rsid w:val="008913E4"/>
    <w:rsid w:val="00896870"/>
    <w:rsid w:val="008A3CC1"/>
    <w:rsid w:val="008A64B0"/>
    <w:rsid w:val="008A6908"/>
    <w:rsid w:val="008B55B7"/>
    <w:rsid w:val="008C2504"/>
    <w:rsid w:val="008C441B"/>
    <w:rsid w:val="008C614F"/>
    <w:rsid w:val="008D022D"/>
    <w:rsid w:val="008D1184"/>
    <w:rsid w:val="008D6DA1"/>
    <w:rsid w:val="008D7564"/>
    <w:rsid w:val="008E1099"/>
    <w:rsid w:val="008E1743"/>
    <w:rsid w:val="008E1D16"/>
    <w:rsid w:val="008E626D"/>
    <w:rsid w:val="008F052D"/>
    <w:rsid w:val="0090092F"/>
    <w:rsid w:val="00912E2F"/>
    <w:rsid w:val="009277FA"/>
    <w:rsid w:val="00930406"/>
    <w:rsid w:val="00930DFE"/>
    <w:rsid w:val="0093145B"/>
    <w:rsid w:val="00935B8E"/>
    <w:rsid w:val="00936F61"/>
    <w:rsid w:val="00941954"/>
    <w:rsid w:val="009461D9"/>
    <w:rsid w:val="00952160"/>
    <w:rsid w:val="00954055"/>
    <w:rsid w:val="00954CD3"/>
    <w:rsid w:val="009621E1"/>
    <w:rsid w:val="00973DF5"/>
    <w:rsid w:val="0098498F"/>
    <w:rsid w:val="00986690"/>
    <w:rsid w:val="00996C34"/>
    <w:rsid w:val="009A1A83"/>
    <w:rsid w:val="009A680C"/>
    <w:rsid w:val="009A6F4B"/>
    <w:rsid w:val="009B0049"/>
    <w:rsid w:val="009B1743"/>
    <w:rsid w:val="009B19F0"/>
    <w:rsid w:val="009B493E"/>
    <w:rsid w:val="009C0AF9"/>
    <w:rsid w:val="009C1931"/>
    <w:rsid w:val="009C4994"/>
    <w:rsid w:val="009C49DD"/>
    <w:rsid w:val="009C7640"/>
    <w:rsid w:val="009E11E1"/>
    <w:rsid w:val="009E5648"/>
    <w:rsid w:val="009E7B8E"/>
    <w:rsid w:val="009F2FFA"/>
    <w:rsid w:val="00A03F33"/>
    <w:rsid w:val="00A04EA0"/>
    <w:rsid w:val="00A05294"/>
    <w:rsid w:val="00A1078C"/>
    <w:rsid w:val="00A128DF"/>
    <w:rsid w:val="00A20688"/>
    <w:rsid w:val="00A23B45"/>
    <w:rsid w:val="00A42025"/>
    <w:rsid w:val="00A43118"/>
    <w:rsid w:val="00A53475"/>
    <w:rsid w:val="00A5445A"/>
    <w:rsid w:val="00A576DA"/>
    <w:rsid w:val="00A733C4"/>
    <w:rsid w:val="00A957DA"/>
    <w:rsid w:val="00A95FDC"/>
    <w:rsid w:val="00A96508"/>
    <w:rsid w:val="00AA1F70"/>
    <w:rsid w:val="00AB0DC0"/>
    <w:rsid w:val="00AB334E"/>
    <w:rsid w:val="00AB70B8"/>
    <w:rsid w:val="00AC06CA"/>
    <w:rsid w:val="00AD4E90"/>
    <w:rsid w:val="00AE3089"/>
    <w:rsid w:val="00AE777E"/>
    <w:rsid w:val="00AF0926"/>
    <w:rsid w:val="00AF1F08"/>
    <w:rsid w:val="00B04F4F"/>
    <w:rsid w:val="00B14129"/>
    <w:rsid w:val="00B15EFA"/>
    <w:rsid w:val="00B2430D"/>
    <w:rsid w:val="00B258D2"/>
    <w:rsid w:val="00B2652A"/>
    <w:rsid w:val="00B324F1"/>
    <w:rsid w:val="00B37589"/>
    <w:rsid w:val="00B41E22"/>
    <w:rsid w:val="00B54905"/>
    <w:rsid w:val="00B56E1D"/>
    <w:rsid w:val="00B56F39"/>
    <w:rsid w:val="00B60355"/>
    <w:rsid w:val="00B65557"/>
    <w:rsid w:val="00B822A7"/>
    <w:rsid w:val="00B9069E"/>
    <w:rsid w:val="00B96F73"/>
    <w:rsid w:val="00BA1FFB"/>
    <w:rsid w:val="00BA2A30"/>
    <w:rsid w:val="00BC35A3"/>
    <w:rsid w:val="00BD1C13"/>
    <w:rsid w:val="00BD49A7"/>
    <w:rsid w:val="00BD4A82"/>
    <w:rsid w:val="00BD6DDE"/>
    <w:rsid w:val="00BD7BB3"/>
    <w:rsid w:val="00BF29EC"/>
    <w:rsid w:val="00C0312D"/>
    <w:rsid w:val="00C040D9"/>
    <w:rsid w:val="00C04F80"/>
    <w:rsid w:val="00C21E4B"/>
    <w:rsid w:val="00C22403"/>
    <w:rsid w:val="00C31FB3"/>
    <w:rsid w:val="00C35D6B"/>
    <w:rsid w:val="00C43F37"/>
    <w:rsid w:val="00C45A9D"/>
    <w:rsid w:val="00C648BF"/>
    <w:rsid w:val="00C73C82"/>
    <w:rsid w:val="00C9272F"/>
    <w:rsid w:val="00CA1279"/>
    <w:rsid w:val="00CA328C"/>
    <w:rsid w:val="00CB02A3"/>
    <w:rsid w:val="00CB5677"/>
    <w:rsid w:val="00CC5FCE"/>
    <w:rsid w:val="00CE24B8"/>
    <w:rsid w:val="00CE4C5B"/>
    <w:rsid w:val="00CF77A7"/>
    <w:rsid w:val="00D03C33"/>
    <w:rsid w:val="00D144C5"/>
    <w:rsid w:val="00D22801"/>
    <w:rsid w:val="00D43179"/>
    <w:rsid w:val="00D44449"/>
    <w:rsid w:val="00D4444F"/>
    <w:rsid w:val="00D551C5"/>
    <w:rsid w:val="00D621AF"/>
    <w:rsid w:val="00D644D4"/>
    <w:rsid w:val="00D720D2"/>
    <w:rsid w:val="00D91F67"/>
    <w:rsid w:val="00DB04BA"/>
    <w:rsid w:val="00DB7731"/>
    <w:rsid w:val="00DC1D44"/>
    <w:rsid w:val="00DC69DD"/>
    <w:rsid w:val="00DD4C37"/>
    <w:rsid w:val="00DE0C87"/>
    <w:rsid w:val="00DE0D40"/>
    <w:rsid w:val="00DF70FE"/>
    <w:rsid w:val="00E02FE1"/>
    <w:rsid w:val="00E1283C"/>
    <w:rsid w:val="00E159D8"/>
    <w:rsid w:val="00E210AE"/>
    <w:rsid w:val="00E30229"/>
    <w:rsid w:val="00E46691"/>
    <w:rsid w:val="00E63687"/>
    <w:rsid w:val="00E63BD4"/>
    <w:rsid w:val="00E65487"/>
    <w:rsid w:val="00E66EB2"/>
    <w:rsid w:val="00E85279"/>
    <w:rsid w:val="00E873D0"/>
    <w:rsid w:val="00E95543"/>
    <w:rsid w:val="00EB0718"/>
    <w:rsid w:val="00EB25F8"/>
    <w:rsid w:val="00EC1DCE"/>
    <w:rsid w:val="00EC6C55"/>
    <w:rsid w:val="00ED35B3"/>
    <w:rsid w:val="00ED4DA6"/>
    <w:rsid w:val="00ED660C"/>
    <w:rsid w:val="00EE08FB"/>
    <w:rsid w:val="00EE6901"/>
    <w:rsid w:val="00EF2406"/>
    <w:rsid w:val="00EF7A10"/>
    <w:rsid w:val="00F02236"/>
    <w:rsid w:val="00F0490C"/>
    <w:rsid w:val="00F067F1"/>
    <w:rsid w:val="00F15BDE"/>
    <w:rsid w:val="00F20406"/>
    <w:rsid w:val="00F21856"/>
    <w:rsid w:val="00F26221"/>
    <w:rsid w:val="00F34766"/>
    <w:rsid w:val="00F4130A"/>
    <w:rsid w:val="00F467D0"/>
    <w:rsid w:val="00F5261A"/>
    <w:rsid w:val="00F62C7A"/>
    <w:rsid w:val="00F63121"/>
    <w:rsid w:val="00F65E4B"/>
    <w:rsid w:val="00F94C6F"/>
    <w:rsid w:val="00FA1F1A"/>
    <w:rsid w:val="00FB4182"/>
    <w:rsid w:val="00FC607D"/>
    <w:rsid w:val="00FE0A2E"/>
    <w:rsid w:val="00FE1412"/>
    <w:rsid w:val="00FF4B00"/>
    <w:rsid w:val="011ABB15"/>
    <w:rsid w:val="043BCABB"/>
    <w:rsid w:val="0B0EA455"/>
    <w:rsid w:val="0B8A034E"/>
    <w:rsid w:val="0EFFA5ED"/>
    <w:rsid w:val="131BB102"/>
    <w:rsid w:val="14680B71"/>
    <w:rsid w:val="1560FC9C"/>
    <w:rsid w:val="19AD8CE1"/>
    <w:rsid w:val="19B3A7D0"/>
    <w:rsid w:val="19C43F1F"/>
    <w:rsid w:val="1C27C40E"/>
    <w:rsid w:val="1E4086BC"/>
    <w:rsid w:val="1E87D4EB"/>
    <w:rsid w:val="1FA91F64"/>
    <w:rsid w:val="21821A39"/>
    <w:rsid w:val="28B41EE7"/>
    <w:rsid w:val="310980B0"/>
    <w:rsid w:val="319C90CD"/>
    <w:rsid w:val="320593A1"/>
    <w:rsid w:val="3427A186"/>
    <w:rsid w:val="359B076F"/>
    <w:rsid w:val="38B1253F"/>
    <w:rsid w:val="3AFD0F09"/>
    <w:rsid w:val="3BD764D0"/>
    <w:rsid w:val="3DB580CC"/>
    <w:rsid w:val="3EA998DE"/>
    <w:rsid w:val="3F1AE3F6"/>
    <w:rsid w:val="3F3DB7BE"/>
    <w:rsid w:val="408D1ABA"/>
    <w:rsid w:val="42C78056"/>
    <w:rsid w:val="430EACBC"/>
    <w:rsid w:val="44617ACD"/>
    <w:rsid w:val="469D8388"/>
    <w:rsid w:val="47329EDF"/>
    <w:rsid w:val="478B3AAE"/>
    <w:rsid w:val="49768AD8"/>
    <w:rsid w:val="4A4DC7F4"/>
    <w:rsid w:val="4C9833D7"/>
    <w:rsid w:val="4CE21E60"/>
    <w:rsid w:val="4D2579BD"/>
    <w:rsid w:val="4E21FEE0"/>
    <w:rsid w:val="4F76DCB0"/>
    <w:rsid w:val="50521A54"/>
    <w:rsid w:val="51F70D61"/>
    <w:rsid w:val="52074C22"/>
    <w:rsid w:val="522ACA61"/>
    <w:rsid w:val="56589572"/>
    <w:rsid w:val="59DA5FA0"/>
    <w:rsid w:val="5B8F4E86"/>
    <w:rsid w:val="5C5158E4"/>
    <w:rsid w:val="5D295875"/>
    <w:rsid w:val="5EEF4E75"/>
    <w:rsid w:val="5EFA0361"/>
    <w:rsid w:val="634E55E3"/>
    <w:rsid w:val="67C382D6"/>
    <w:rsid w:val="6980EFC0"/>
    <w:rsid w:val="69D873C2"/>
    <w:rsid w:val="6A0A6874"/>
    <w:rsid w:val="6B154545"/>
    <w:rsid w:val="6B878364"/>
    <w:rsid w:val="6B8F61B4"/>
    <w:rsid w:val="71537675"/>
    <w:rsid w:val="737E28F0"/>
    <w:rsid w:val="76EB2F13"/>
    <w:rsid w:val="775677A2"/>
    <w:rsid w:val="797D9FCE"/>
    <w:rsid w:val="7D7F2C5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82A33"/>
  <w15:docId w15:val="{E0D9C806-D954-40EF-9FF0-4CC81236D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72042F"/>
    <w:rPr>
      <w:b/>
      <w:bCs/>
    </w:rPr>
  </w:style>
  <w:style w:type="character" w:customStyle="1" w:styleId="CommentSubjectChar">
    <w:name w:val="Comment Subject Char"/>
    <w:basedOn w:val="CommentTextChar"/>
    <w:link w:val="CommentSubject"/>
    <w:uiPriority w:val="99"/>
    <w:semiHidden/>
    <w:rsid w:val="0072042F"/>
    <w:rPr>
      <w:b/>
      <w:bCs/>
      <w:sz w:val="20"/>
      <w:szCs w:val="20"/>
    </w:rPr>
  </w:style>
  <w:style w:type="paragraph" w:styleId="FootnoteText">
    <w:name w:val="footnote text"/>
    <w:basedOn w:val="Normal"/>
    <w:link w:val="FootnoteTextChar"/>
    <w:uiPriority w:val="99"/>
    <w:semiHidden/>
    <w:unhideWhenUsed/>
    <w:rsid w:val="00F02236"/>
    <w:pPr>
      <w:spacing w:line="240" w:lineRule="auto"/>
    </w:pPr>
    <w:rPr>
      <w:sz w:val="20"/>
      <w:szCs w:val="20"/>
    </w:rPr>
  </w:style>
  <w:style w:type="character" w:customStyle="1" w:styleId="FootnoteTextChar">
    <w:name w:val="Footnote Text Char"/>
    <w:basedOn w:val="DefaultParagraphFont"/>
    <w:link w:val="FootnoteText"/>
    <w:uiPriority w:val="99"/>
    <w:semiHidden/>
    <w:rsid w:val="00F02236"/>
    <w:rPr>
      <w:sz w:val="20"/>
      <w:szCs w:val="20"/>
    </w:rPr>
  </w:style>
  <w:style w:type="character" w:styleId="FootnoteReference">
    <w:name w:val="footnote reference"/>
    <w:basedOn w:val="DefaultParagraphFont"/>
    <w:uiPriority w:val="99"/>
    <w:semiHidden/>
    <w:unhideWhenUsed/>
    <w:rsid w:val="00F02236"/>
    <w:rPr>
      <w:vertAlign w:val="superscript"/>
    </w:rPr>
  </w:style>
  <w:style w:type="paragraph" w:styleId="Header">
    <w:name w:val="header"/>
    <w:basedOn w:val="Normal"/>
    <w:link w:val="HeaderChar"/>
    <w:uiPriority w:val="99"/>
    <w:semiHidden/>
    <w:unhideWhenUsed/>
    <w:rsid w:val="00474E59"/>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474E59"/>
  </w:style>
  <w:style w:type="paragraph" w:styleId="Footer">
    <w:name w:val="footer"/>
    <w:basedOn w:val="Normal"/>
    <w:link w:val="FooterChar"/>
    <w:uiPriority w:val="99"/>
    <w:unhideWhenUsed/>
    <w:rsid w:val="00474E59"/>
    <w:pPr>
      <w:tabs>
        <w:tab w:val="center" w:pos="4680"/>
        <w:tab w:val="right" w:pos="9360"/>
      </w:tabs>
      <w:spacing w:line="240" w:lineRule="auto"/>
    </w:pPr>
  </w:style>
  <w:style w:type="character" w:customStyle="1" w:styleId="FooterChar">
    <w:name w:val="Footer Char"/>
    <w:basedOn w:val="DefaultParagraphFont"/>
    <w:link w:val="Footer"/>
    <w:uiPriority w:val="99"/>
    <w:rsid w:val="00474E59"/>
  </w:style>
  <w:style w:type="paragraph" w:styleId="Revision">
    <w:name w:val="Revision"/>
    <w:hidden/>
    <w:uiPriority w:val="99"/>
    <w:semiHidden/>
    <w:rsid w:val="008125BE"/>
    <w:pPr>
      <w:spacing w:line="240" w:lineRule="auto"/>
    </w:pPr>
  </w:style>
  <w:style w:type="paragraph" w:styleId="ListParagraph">
    <w:name w:val="List Paragraph"/>
    <w:aliases w:val="Bullit,Normal 2,List Paragraph (numbered (a)),References,Source,Bullets,Liste 1,Numbered List Paragraph,ReferencesCxSpLast,List bullets,List Paragraph1,Medium Grid 1 - Accent 21,List Paragraph nowy,List_Paragraph,Multilevel para_II,Bo"/>
    <w:basedOn w:val="Normal"/>
    <w:link w:val="ListParagraphChar"/>
    <w:uiPriority w:val="34"/>
    <w:qFormat/>
    <w:rsid w:val="00C0312D"/>
    <w:pPr>
      <w:ind w:left="720"/>
      <w:contextualSpacing/>
    </w:pPr>
  </w:style>
  <w:style w:type="table" w:styleId="TableGrid">
    <w:name w:val="Table Grid"/>
    <w:basedOn w:val="TableNormal"/>
    <w:uiPriority w:val="59"/>
    <w:rsid w:val="004623A3"/>
    <w:pPr>
      <w:spacing w:line="240" w:lineRule="auto"/>
    </w:pPr>
    <w:rPr>
      <w:rFonts w:ascii="Calibri" w:eastAsia="Calibri" w:hAnsi="Calibri" w:cs="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it Char,Normal 2 Char,List Paragraph (numbered (a)) Char,References Char,Source Char,Bullets Char,Liste 1 Char,Numbered List Paragraph Char,ReferencesCxSpLast Char,List bullets Char,List Paragraph1 Char,List Paragraph nowy Char"/>
    <w:basedOn w:val="DefaultParagraphFont"/>
    <w:link w:val="ListParagraph"/>
    <w:uiPriority w:val="34"/>
    <w:qFormat/>
    <w:locked/>
    <w:rsid w:val="004118C8"/>
  </w:style>
  <w:style w:type="character" w:styleId="Hyperlink">
    <w:name w:val="Hyperlink"/>
    <w:basedOn w:val="DefaultParagraphFont"/>
    <w:uiPriority w:val="99"/>
    <w:unhideWhenUsed/>
    <w:rsid w:val="00B04F4F"/>
    <w:rPr>
      <w:color w:val="467886"/>
      <w:u w:val="single"/>
    </w:rPr>
  </w:style>
  <w:style w:type="character" w:styleId="UnresolvedMention">
    <w:name w:val="Unresolved Mention"/>
    <w:basedOn w:val="DefaultParagraphFont"/>
    <w:uiPriority w:val="99"/>
    <w:semiHidden/>
    <w:unhideWhenUsed/>
    <w:rsid w:val="00935B8E"/>
    <w:rPr>
      <w:color w:val="605E5C"/>
      <w:shd w:val="clear" w:color="auto" w:fill="E1DFDD"/>
    </w:rPr>
  </w:style>
  <w:style w:type="paragraph" w:customStyle="1" w:styleId="Default">
    <w:name w:val="Default"/>
    <w:rsid w:val="005E74B7"/>
    <w:pPr>
      <w:autoSpaceDE w:val="0"/>
      <w:autoSpaceDN w:val="0"/>
      <w:adjustRightInd w:val="0"/>
      <w:spacing w:line="240" w:lineRule="auto"/>
    </w:pPr>
    <w:rPr>
      <w:rFonts w:ascii="Calibri" w:hAnsi="Calibri" w:cs="Calibri"/>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3348655">
      <w:bodyDiv w:val="1"/>
      <w:marLeft w:val="0"/>
      <w:marRight w:val="0"/>
      <w:marTop w:val="0"/>
      <w:marBottom w:val="0"/>
      <w:divBdr>
        <w:top w:val="none" w:sz="0" w:space="0" w:color="auto"/>
        <w:left w:val="none" w:sz="0" w:space="0" w:color="auto"/>
        <w:bottom w:val="none" w:sz="0" w:space="0" w:color="auto"/>
        <w:right w:val="none" w:sz="0" w:space="0" w:color="auto"/>
      </w:divBdr>
    </w:div>
    <w:div w:id="1120605554">
      <w:bodyDiv w:val="1"/>
      <w:marLeft w:val="0"/>
      <w:marRight w:val="0"/>
      <w:marTop w:val="0"/>
      <w:marBottom w:val="0"/>
      <w:divBdr>
        <w:top w:val="none" w:sz="0" w:space="0" w:color="auto"/>
        <w:left w:val="none" w:sz="0" w:space="0" w:color="auto"/>
        <w:bottom w:val="none" w:sz="0" w:space="0" w:color="auto"/>
        <w:right w:val="none" w:sz="0" w:space="0" w:color="auto"/>
      </w:divBdr>
    </w:div>
    <w:div w:id="1242182894">
      <w:bodyDiv w:val="1"/>
      <w:marLeft w:val="0"/>
      <w:marRight w:val="0"/>
      <w:marTop w:val="0"/>
      <w:marBottom w:val="0"/>
      <w:divBdr>
        <w:top w:val="none" w:sz="0" w:space="0" w:color="auto"/>
        <w:left w:val="none" w:sz="0" w:space="0" w:color="auto"/>
        <w:bottom w:val="none" w:sz="0" w:space="0" w:color="auto"/>
        <w:right w:val="none" w:sz="0" w:space="0" w:color="auto"/>
      </w:divBdr>
      <w:divsChild>
        <w:div w:id="406192223">
          <w:marLeft w:val="1440"/>
          <w:marRight w:val="0"/>
          <w:marTop w:val="0"/>
          <w:marBottom w:val="0"/>
          <w:divBdr>
            <w:top w:val="none" w:sz="0" w:space="0" w:color="auto"/>
            <w:left w:val="none" w:sz="0" w:space="0" w:color="auto"/>
            <w:bottom w:val="none" w:sz="0" w:space="0" w:color="auto"/>
            <w:right w:val="none" w:sz="0" w:space="0" w:color="auto"/>
          </w:divBdr>
        </w:div>
      </w:divsChild>
    </w:div>
    <w:div w:id="1795171711">
      <w:bodyDiv w:val="1"/>
      <w:marLeft w:val="0"/>
      <w:marRight w:val="0"/>
      <w:marTop w:val="0"/>
      <w:marBottom w:val="0"/>
      <w:divBdr>
        <w:top w:val="none" w:sz="0" w:space="0" w:color="auto"/>
        <w:left w:val="none" w:sz="0" w:space="0" w:color="auto"/>
        <w:bottom w:val="none" w:sz="0" w:space="0" w:color="auto"/>
        <w:right w:val="none" w:sz="0" w:space="0" w:color="auto"/>
      </w:divBdr>
    </w:div>
    <w:div w:id="1947342999">
      <w:bodyDiv w:val="1"/>
      <w:marLeft w:val="0"/>
      <w:marRight w:val="0"/>
      <w:marTop w:val="0"/>
      <w:marBottom w:val="0"/>
      <w:divBdr>
        <w:top w:val="none" w:sz="0" w:space="0" w:color="auto"/>
        <w:left w:val="none" w:sz="0" w:space="0" w:color="auto"/>
        <w:bottom w:val="none" w:sz="0" w:space="0" w:color="auto"/>
        <w:right w:val="none" w:sz="0" w:space="0" w:color="auto"/>
      </w:divBdr>
      <w:divsChild>
        <w:div w:id="51542755">
          <w:marLeft w:val="1440"/>
          <w:marRight w:val="0"/>
          <w:marTop w:val="0"/>
          <w:marBottom w:val="0"/>
          <w:divBdr>
            <w:top w:val="none" w:sz="0" w:space="0" w:color="auto"/>
            <w:left w:val="none" w:sz="0" w:space="0" w:color="auto"/>
            <w:bottom w:val="none" w:sz="0" w:space="0" w:color="auto"/>
            <w:right w:val="none" w:sz="0" w:space="0" w:color="auto"/>
          </w:divBdr>
        </w:div>
      </w:divsChild>
    </w:div>
    <w:div w:id="19687329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lemondzhava@worldbank.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arana1@worldbank.org" TargetMode="External"/><Relationship Id="rId4" Type="http://schemas.openxmlformats.org/officeDocument/2006/relationships/settings" Target="settings.xml"/><Relationship Id="rId9" Type="http://schemas.openxmlformats.org/officeDocument/2006/relationships/hyperlink" Target="mailto:jkappen@worldbank.org"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2E6245-57AA-442D-8DED-9D17492EA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529</TotalTime>
  <Pages>12</Pages>
  <Words>4511</Words>
  <Characters>25715</Characters>
  <Application>Microsoft Office Word</Application>
  <DocSecurity>0</DocSecurity>
  <Lines>214</Lines>
  <Paragraphs>60</Paragraphs>
  <ScaleCrop>false</ScaleCrop>
  <Company/>
  <LinksUpToDate>false</LinksUpToDate>
  <CharactersWithSpaces>30166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Greacen</dc:creator>
  <cp:keywords/>
  <cp:lastModifiedBy>Tatia Lemondzhava</cp:lastModifiedBy>
  <cp:revision>196</cp:revision>
  <dcterms:created xsi:type="dcterms:W3CDTF">2025-05-28T02:03:00Z</dcterms:created>
  <dcterms:modified xsi:type="dcterms:W3CDTF">2025-09-18T21:37:00Z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51f94a3,656c1b10,5c5ff2b0</vt:lpwstr>
  </property>
  <property fmtid="{D5CDD505-2E9C-101B-9397-08002B2CF9AE}" pid="3" name="ClassificationContentMarkingFooterFontProps">
    <vt:lpwstr>#000000,10,Calibri</vt:lpwstr>
  </property>
  <property fmtid="{D5CDD505-2E9C-101B-9397-08002B2CF9AE}" pid="4" name="ClassificationContentMarkingFooterText">
    <vt:lpwstr>Official Use Only</vt:lpwstr>
  </property>
  <property fmtid="{D5CDD505-2E9C-101B-9397-08002B2CF9AE}" pid="5" name="MSIP_Label_f1bf45b6-5649-4236-82a3-f45024cd282e_Enabled">
    <vt:lpwstr>true</vt:lpwstr>
  </property>
  <property fmtid="{D5CDD505-2E9C-101B-9397-08002B2CF9AE}" pid="6" name="MSIP_Label_f1bf45b6-5649-4236-82a3-f45024cd282e_SetDate">
    <vt:lpwstr>2025-06-03T21:33:19Z</vt:lpwstr>
  </property>
  <property fmtid="{D5CDD505-2E9C-101B-9397-08002B2CF9AE}" pid="7" name="MSIP_Label_f1bf45b6-5649-4236-82a3-f45024cd282e_Method">
    <vt:lpwstr>Standard</vt:lpwstr>
  </property>
  <property fmtid="{D5CDD505-2E9C-101B-9397-08002B2CF9AE}" pid="8" name="MSIP_Label_f1bf45b6-5649-4236-82a3-f45024cd282e_Name">
    <vt:lpwstr>Official Use Only</vt:lpwstr>
  </property>
  <property fmtid="{D5CDD505-2E9C-101B-9397-08002B2CF9AE}" pid="9" name="MSIP_Label_f1bf45b6-5649-4236-82a3-f45024cd282e_SiteId">
    <vt:lpwstr>31a2fec0-266b-4c67-b56e-2796d8f59c36</vt:lpwstr>
  </property>
  <property fmtid="{D5CDD505-2E9C-101B-9397-08002B2CF9AE}" pid="10" name="MSIP_Label_f1bf45b6-5649-4236-82a3-f45024cd282e_ActionId">
    <vt:lpwstr>0edc681d-fc6f-47c1-9e3d-2e73fb899ad2</vt:lpwstr>
  </property>
  <property fmtid="{D5CDD505-2E9C-101B-9397-08002B2CF9AE}" pid="11" name="MSIP_Label_f1bf45b6-5649-4236-82a3-f45024cd282e_ContentBits">
    <vt:lpwstr>2</vt:lpwstr>
  </property>
  <property fmtid="{D5CDD505-2E9C-101B-9397-08002B2CF9AE}" pid="12" name="MSIP_Label_f1bf45b6-5649-4236-82a3-f45024cd282e_Tag">
    <vt:lpwstr>10, 3, 0, 1</vt:lpwstr>
  </property>
</Properties>
</file>